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5CD" w:rsidRPr="008343E1" w:rsidRDefault="00C735CD" w:rsidP="00C735CD">
      <w:pPr>
        <w:jc w:val="center"/>
        <w:rPr>
          <w:rFonts w:ascii="Calibri" w:hAnsi="Calibri"/>
          <w:b/>
          <w:sz w:val="32"/>
          <w:szCs w:val="32"/>
          <w:lang w:val="en-US"/>
        </w:rPr>
      </w:pPr>
      <w:r w:rsidRPr="008343E1">
        <w:rPr>
          <w:rFonts w:ascii="Calibri" w:hAnsi="Calibri"/>
          <w:b/>
          <w:sz w:val="32"/>
          <w:szCs w:val="32"/>
          <w:lang w:val="en-US"/>
        </w:rPr>
        <w:t>Intuition &amp; Reason: Re-assessing dual-process theories with representational sub-activation</w:t>
      </w:r>
    </w:p>
    <w:p w:rsidR="00431857" w:rsidRPr="008343E1" w:rsidRDefault="00431857" w:rsidP="00C735CD">
      <w:pPr>
        <w:jc w:val="center"/>
        <w:rPr>
          <w:rFonts w:ascii="Calibri" w:hAnsi="Calibri"/>
          <w:szCs w:val="24"/>
          <w:lang w:val="en-US"/>
        </w:rPr>
      </w:pPr>
    </w:p>
    <w:p w:rsidR="00C735CD" w:rsidRPr="008343E1" w:rsidRDefault="00FA1D79" w:rsidP="00C735CD">
      <w:pPr>
        <w:jc w:val="center"/>
        <w:rPr>
          <w:rFonts w:ascii="Calibri" w:hAnsi="Calibri"/>
          <w:szCs w:val="24"/>
          <w:lang w:val="en-US"/>
        </w:rPr>
      </w:pPr>
      <w:r w:rsidRPr="008343E1">
        <w:rPr>
          <w:rFonts w:ascii="Calibri" w:hAnsi="Calibri"/>
          <w:szCs w:val="24"/>
          <w:lang w:val="en-US"/>
        </w:rPr>
        <w:t>James Trafford</w:t>
      </w:r>
      <w:r w:rsidR="000708F8" w:rsidRPr="008343E1">
        <w:rPr>
          <w:rStyle w:val="EndnoteReference"/>
          <w:rFonts w:ascii="Calibri" w:hAnsi="Calibri"/>
          <w:szCs w:val="24"/>
          <w:lang w:val="en-US"/>
        </w:rPr>
        <w:endnoteReference w:id="1"/>
      </w:r>
      <w:r w:rsidR="00CB0982" w:rsidRPr="008343E1">
        <w:rPr>
          <w:rFonts w:ascii="Calibri" w:hAnsi="Calibri"/>
          <w:szCs w:val="24"/>
          <w:lang w:val="en-US"/>
        </w:rPr>
        <w:t>, Alexandros Tillas</w:t>
      </w:r>
      <w:r w:rsidR="00CB0982" w:rsidRPr="008343E1">
        <w:rPr>
          <w:rStyle w:val="EndnoteReference"/>
          <w:rFonts w:ascii="Calibri" w:hAnsi="Calibri"/>
          <w:szCs w:val="24"/>
          <w:lang w:val="en-US"/>
        </w:rPr>
        <w:endnoteReference w:id="2"/>
      </w:r>
      <w:r w:rsidR="00CB0982" w:rsidRPr="008343E1">
        <w:rPr>
          <w:rFonts w:ascii="Calibri" w:hAnsi="Calibri"/>
          <w:szCs w:val="24"/>
          <w:lang w:val="en-US"/>
        </w:rPr>
        <w:t xml:space="preserve"> </w:t>
      </w:r>
      <w:r w:rsidR="000708F8" w:rsidRPr="008343E1">
        <w:rPr>
          <w:rFonts w:ascii="Calibri" w:hAnsi="Calibri"/>
          <w:szCs w:val="24"/>
          <w:lang w:val="en-US"/>
        </w:rPr>
        <w:t>*</w:t>
      </w:r>
    </w:p>
    <w:p w:rsidR="00C735CD" w:rsidRPr="008343E1" w:rsidRDefault="00C735CD" w:rsidP="00C735CD">
      <w:pPr>
        <w:jc w:val="center"/>
        <w:rPr>
          <w:rFonts w:ascii="Calibri" w:hAnsi="Calibri"/>
          <w:sz w:val="32"/>
          <w:szCs w:val="32"/>
          <w:lang w:val="en-US"/>
        </w:rPr>
      </w:pPr>
    </w:p>
    <w:p w:rsidR="00C735CD" w:rsidRPr="008343E1" w:rsidRDefault="00C735CD" w:rsidP="00C735CD">
      <w:pPr>
        <w:rPr>
          <w:rFonts w:ascii="Calibri" w:hAnsi="Calibri"/>
          <w:b/>
          <w:szCs w:val="24"/>
          <w:lang w:val="en-US"/>
        </w:rPr>
      </w:pPr>
      <w:r w:rsidRPr="008343E1">
        <w:rPr>
          <w:rFonts w:ascii="Calibri" w:hAnsi="Calibri"/>
          <w:b/>
          <w:szCs w:val="24"/>
          <w:lang w:val="en-US"/>
        </w:rPr>
        <w:t>Abstract</w:t>
      </w:r>
    </w:p>
    <w:p w:rsidR="00C735CD" w:rsidRPr="008343E1" w:rsidRDefault="00C735CD" w:rsidP="00C735CD">
      <w:pPr>
        <w:rPr>
          <w:rFonts w:ascii="Calibri" w:hAnsi="Calibri" w:cs="Calibri"/>
          <w:szCs w:val="24"/>
          <w:lang w:val="en-US"/>
        </w:rPr>
      </w:pPr>
      <w:r w:rsidRPr="008343E1">
        <w:rPr>
          <w:rFonts w:ascii="Calibri" w:hAnsi="Calibri" w:cs="Calibri"/>
          <w:szCs w:val="24"/>
          <w:lang w:val="en-US"/>
        </w:rPr>
        <w:t xml:space="preserve">There is a prevalent distinction in the literature on reasoning, between Type-1 processes, (fast, automatic, associative, heuristic and intuitive); and Type-2 processes (rule-based, analytical and reflective). In this paper, we follow up recent empirical evidence </w:t>
      </w:r>
      <w:r w:rsidR="00CC03BC" w:rsidRPr="008343E1">
        <w:rPr>
          <w:rFonts w:ascii="Calibri" w:hAnsi="Calibri" w:cs="Calibri"/>
          <w:szCs w:val="24"/>
          <w:lang w:val="en-US"/>
        </w:rPr>
        <w:t>[</w:t>
      </w:r>
      <w:r w:rsidRPr="008343E1">
        <w:rPr>
          <w:rFonts w:ascii="Calibri" w:hAnsi="Calibri" w:cs="Calibri"/>
          <w:szCs w:val="24"/>
          <w:lang w:val="en-US"/>
        </w:rPr>
        <w:t xml:space="preserve">De Neys </w:t>
      </w:r>
      <w:r w:rsidR="00CC03BC" w:rsidRPr="008343E1">
        <w:rPr>
          <w:rFonts w:ascii="Calibri" w:hAnsi="Calibri" w:cs="Calibri"/>
          <w:szCs w:val="24"/>
          <w:lang w:val="en-US"/>
        </w:rPr>
        <w:t>(</w:t>
      </w:r>
      <w:r w:rsidRPr="008343E1">
        <w:rPr>
          <w:rFonts w:ascii="Calibri" w:hAnsi="Calibri" w:cs="Calibri"/>
          <w:szCs w:val="24"/>
          <w:lang w:val="en-US"/>
        </w:rPr>
        <w:t>2006b</w:t>
      </w:r>
      <w:r w:rsidR="00CC03BC" w:rsidRPr="008343E1">
        <w:rPr>
          <w:rFonts w:ascii="Calibri" w:hAnsi="Calibri" w:cs="Calibri"/>
          <w:szCs w:val="24"/>
          <w:lang w:val="en-US"/>
        </w:rPr>
        <w:t>)</w:t>
      </w:r>
      <w:r w:rsidRPr="008343E1">
        <w:rPr>
          <w:rFonts w:ascii="Calibri" w:hAnsi="Calibri" w:cs="Calibri"/>
          <w:szCs w:val="24"/>
          <w:lang w:val="en-US"/>
        </w:rPr>
        <w:t xml:space="preserve">; Osman </w:t>
      </w:r>
      <w:r w:rsidR="00CC03BC" w:rsidRPr="008343E1">
        <w:rPr>
          <w:rFonts w:ascii="Calibri" w:hAnsi="Calibri" w:cs="Calibri"/>
          <w:szCs w:val="24"/>
          <w:lang w:val="en-US"/>
        </w:rPr>
        <w:t>(</w:t>
      </w:r>
      <w:r w:rsidRPr="008343E1">
        <w:rPr>
          <w:rFonts w:ascii="Calibri" w:hAnsi="Calibri" w:cs="Calibri"/>
          <w:szCs w:val="24"/>
          <w:lang w:val="en-US"/>
        </w:rPr>
        <w:t>2013)</w:t>
      </w:r>
      <w:r w:rsidR="00CC03BC" w:rsidRPr="008343E1">
        <w:rPr>
          <w:rFonts w:ascii="Calibri" w:hAnsi="Calibri" w:cs="Calibri"/>
          <w:szCs w:val="24"/>
          <w:lang w:val="en-US"/>
        </w:rPr>
        <w:t>]</w:t>
      </w:r>
      <w:r w:rsidRPr="008343E1">
        <w:rPr>
          <w:rFonts w:ascii="Calibri" w:hAnsi="Calibri" w:cs="Calibri"/>
          <w:szCs w:val="24"/>
          <w:lang w:val="en-US"/>
        </w:rPr>
        <w:t xml:space="preserve"> in favour of a unitary cognitive system. More specifically, we suggest that intuitions (T1-processes) are sub-activated representations, which are in turn influenced by the weightings of the connections between different representations. Furthermore, we explain </w:t>
      </w:r>
      <w:r w:rsidRPr="008343E1">
        <w:rPr>
          <w:rFonts w:ascii="Calibri" w:hAnsi="Calibri" w:cs="Calibri"/>
          <w:szCs w:val="24"/>
        </w:rPr>
        <w:t>biases by appealing to the role of attention in thinking processes. The suggested view explains reasoning and bias whilst dealing with extant problems facing dual-process accounts.</w:t>
      </w:r>
    </w:p>
    <w:p w:rsidR="00C735CD" w:rsidRPr="008343E1" w:rsidRDefault="00C735CD" w:rsidP="00C735CD">
      <w:pPr>
        <w:rPr>
          <w:rFonts w:ascii="Calibri" w:hAnsi="Calibri"/>
          <w:b/>
          <w:szCs w:val="24"/>
          <w:lang w:val="en-US"/>
        </w:rPr>
      </w:pPr>
    </w:p>
    <w:p w:rsidR="00C735CD" w:rsidRPr="008343E1" w:rsidRDefault="00C735CD" w:rsidP="00C735CD">
      <w:pPr>
        <w:rPr>
          <w:rFonts w:ascii="Calibri" w:hAnsi="Calibri"/>
          <w:szCs w:val="24"/>
        </w:rPr>
      </w:pPr>
      <w:r w:rsidRPr="008343E1">
        <w:rPr>
          <w:rFonts w:ascii="Calibri" w:hAnsi="Calibri"/>
          <w:szCs w:val="24"/>
          <w:lang w:val="en-US" w:eastAsia="en-US"/>
        </w:rPr>
        <w:t>[*</w:t>
      </w:r>
      <w:r w:rsidRPr="008343E1">
        <w:rPr>
          <w:rFonts w:ascii="Calibri" w:hAnsi="Calibri"/>
          <w:i/>
          <w:szCs w:val="24"/>
          <w:lang w:val="en-US" w:eastAsia="en-US"/>
        </w:rPr>
        <w:t>This paper was fully collaborative; the order of the authors' names is arbitrary</w:t>
      </w:r>
      <w:r w:rsidRPr="008343E1">
        <w:rPr>
          <w:rFonts w:ascii="Calibri" w:hAnsi="Calibri"/>
          <w:szCs w:val="24"/>
          <w:lang w:val="en-US" w:eastAsia="en-US"/>
        </w:rPr>
        <w:t>].</w:t>
      </w:r>
    </w:p>
    <w:p w:rsidR="00C735CD" w:rsidRPr="008343E1" w:rsidRDefault="00C735CD" w:rsidP="00C735CD">
      <w:pPr>
        <w:widowControl w:val="0"/>
        <w:autoSpaceDE w:val="0"/>
        <w:autoSpaceDN w:val="0"/>
        <w:adjustRightInd w:val="0"/>
        <w:spacing w:after="200" w:line="276" w:lineRule="auto"/>
        <w:rPr>
          <w:rFonts w:ascii="Calibri" w:hAnsi="Calibri"/>
          <w:b/>
          <w:szCs w:val="24"/>
        </w:rPr>
      </w:pPr>
    </w:p>
    <w:p w:rsidR="00C735CD" w:rsidRPr="008343E1" w:rsidRDefault="00C735CD" w:rsidP="00C735CD">
      <w:pPr>
        <w:widowControl w:val="0"/>
        <w:autoSpaceDE w:val="0"/>
        <w:autoSpaceDN w:val="0"/>
        <w:adjustRightInd w:val="0"/>
        <w:spacing w:after="200" w:line="276" w:lineRule="auto"/>
        <w:rPr>
          <w:rFonts w:ascii="Calibri" w:hAnsi="Calibri"/>
          <w:b/>
          <w:szCs w:val="24"/>
        </w:rPr>
      </w:pPr>
    </w:p>
    <w:p w:rsidR="00C735CD" w:rsidRPr="008343E1" w:rsidRDefault="00C735CD" w:rsidP="00C735CD">
      <w:pPr>
        <w:widowControl w:val="0"/>
        <w:autoSpaceDE w:val="0"/>
        <w:autoSpaceDN w:val="0"/>
        <w:adjustRightInd w:val="0"/>
        <w:spacing w:after="200" w:line="276" w:lineRule="auto"/>
        <w:rPr>
          <w:rFonts w:ascii="Calibri" w:hAnsi="Calibri"/>
          <w:b/>
          <w:szCs w:val="24"/>
        </w:rPr>
      </w:pPr>
      <w:r w:rsidRPr="008343E1">
        <w:rPr>
          <w:rFonts w:ascii="Calibri" w:hAnsi="Calibri"/>
          <w:b/>
          <w:szCs w:val="24"/>
        </w:rPr>
        <w:t>1. Introduction</w:t>
      </w:r>
      <w:r w:rsidRPr="008343E1">
        <w:rPr>
          <w:rFonts w:ascii="Calibri" w:hAnsi="Calibri"/>
          <w:b/>
          <w:szCs w:val="24"/>
        </w:rPr>
        <w:tab/>
      </w:r>
    </w:p>
    <w:p w:rsidR="00C735CD" w:rsidRPr="008343E1" w:rsidRDefault="00C735CD" w:rsidP="00C735CD">
      <w:pPr>
        <w:spacing w:after="200" w:line="276" w:lineRule="auto"/>
        <w:rPr>
          <w:rFonts w:ascii="Calibri" w:hAnsi="Calibri"/>
          <w:b/>
          <w:szCs w:val="24"/>
          <w:lang w:val="en-US"/>
        </w:rPr>
      </w:pPr>
      <w:r w:rsidRPr="008343E1">
        <w:rPr>
          <w:rFonts w:ascii="Calibri" w:hAnsi="Calibri"/>
          <w:b/>
          <w:szCs w:val="24"/>
          <w:lang w:val="en-US"/>
        </w:rPr>
        <w:t>1.1 The current approach</w:t>
      </w:r>
    </w:p>
    <w:p w:rsidR="00C735CD" w:rsidRPr="008343E1" w:rsidRDefault="00C735CD" w:rsidP="00C735CD">
      <w:pPr>
        <w:spacing w:after="200" w:line="276" w:lineRule="auto"/>
        <w:rPr>
          <w:rFonts w:ascii="Calibri" w:hAnsi="Calibri"/>
          <w:szCs w:val="24"/>
        </w:rPr>
      </w:pPr>
      <w:r w:rsidRPr="008343E1">
        <w:rPr>
          <w:rFonts w:ascii="Calibri" w:hAnsi="Calibri"/>
          <w:szCs w:val="24"/>
        </w:rPr>
        <w:t xml:space="preserve">In the literature on reasoning, there is a prevalent distinction made between two processes, both of which underlie cognition, and often conflict with each other. Type-1 (T-1) processes are characterized as fast, automatic, associative, heuristic and intuitive; whereas Type-2 (T-2) processes are rule-based, analytical and reflective </w:t>
      </w:r>
      <w:r w:rsidR="003C0CAB" w:rsidRPr="008343E1">
        <w:rPr>
          <w:rFonts w:ascii="Calibri" w:hAnsi="Calibri"/>
          <w:szCs w:val="24"/>
        </w:rPr>
        <w:t>[</w:t>
      </w:r>
      <w:r w:rsidRPr="008343E1">
        <w:rPr>
          <w:rFonts w:ascii="Calibri" w:hAnsi="Calibri"/>
          <w:szCs w:val="24"/>
        </w:rPr>
        <w:t xml:space="preserve">Epstein </w:t>
      </w:r>
      <w:r w:rsidR="003C0CAB" w:rsidRPr="008343E1">
        <w:rPr>
          <w:rFonts w:ascii="Calibri" w:hAnsi="Calibri"/>
          <w:szCs w:val="24"/>
        </w:rPr>
        <w:t>(</w:t>
      </w:r>
      <w:r w:rsidRPr="008343E1">
        <w:rPr>
          <w:rFonts w:ascii="Calibri" w:hAnsi="Calibri"/>
          <w:szCs w:val="24"/>
        </w:rPr>
        <w:t>1994</w:t>
      </w:r>
      <w:r w:rsidR="003C0CAB" w:rsidRPr="008343E1">
        <w:rPr>
          <w:rFonts w:ascii="Calibri" w:hAnsi="Calibri"/>
          <w:szCs w:val="24"/>
        </w:rPr>
        <w:t>)</w:t>
      </w:r>
      <w:r w:rsidRPr="008343E1">
        <w:rPr>
          <w:rFonts w:ascii="Calibri" w:hAnsi="Calibri"/>
          <w:szCs w:val="24"/>
        </w:rPr>
        <w:t xml:space="preserve">; Evans </w:t>
      </w:r>
      <w:r w:rsidR="003C0CAB" w:rsidRPr="008343E1">
        <w:rPr>
          <w:rFonts w:ascii="Calibri" w:hAnsi="Calibri"/>
          <w:szCs w:val="24"/>
        </w:rPr>
        <w:t>(</w:t>
      </w:r>
      <w:r w:rsidRPr="008343E1">
        <w:rPr>
          <w:rFonts w:ascii="Calibri" w:hAnsi="Calibri"/>
          <w:szCs w:val="24"/>
        </w:rPr>
        <w:t>1989</w:t>
      </w:r>
      <w:r w:rsidR="003C0CAB" w:rsidRPr="008343E1">
        <w:rPr>
          <w:rFonts w:ascii="Calibri" w:hAnsi="Calibri"/>
          <w:szCs w:val="24"/>
        </w:rPr>
        <w:t>)</w:t>
      </w:r>
      <w:r w:rsidRPr="008343E1">
        <w:rPr>
          <w:rFonts w:ascii="Calibri" w:hAnsi="Calibri"/>
          <w:szCs w:val="24"/>
        </w:rPr>
        <w:t xml:space="preserve">; Evans &amp; Over </w:t>
      </w:r>
      <w:r w:rsidR="003C0CAB" w:rsidRPr="008343E1">
        <w:rPr>
          <w:rFonts w:ascii="Calibri" w:hAnsi="Calibri"/>
          <w:szCs w:val="24"/>
        </w:rPr>
        <w:t>(</w:t>
      </w:r>
      <w:r w:rsidRPr="008343E1">
        <w:rPr>
          <w:rFonts w:ascii="Calibri" w:hAnsi="Calibri"/>
          <w:szCs w:val="24"/>
        </w:rPr>
        <w:t>1996</w:t>
      </w:r>
      <w:r w:rsidR="003C0CAB" w:rsidRPr="008343E1">
        <w:rPr>
          <w:rFonts w:ascii="Calibri" w:hAnsi="Calibri"/>
          <w:szCs w:val="24"/>
        </w:rPr>
        <w:t>)</w:t>
      </w:r>
      <w:r w:rsidRPr="008343E1">
        <w:rPr>
          <w:rFonts w:ascii="Calibri" w:hAnsi="Calibri"/>
          <w:szCs w:val="24"/>
        </w:rPr>
        <w:t xml:space="preserve">; Sloman </w:t>
      </w:r>
      <w:r w:rsidR="003C0CAB" w:rsidRPr="008343E1">
        <w:rPr>
          <w:rFonts w:ascii="Calibri" w:hAnsi="Calibri"/>
          <w:szCs w:val="24"/>
        </w:rPr>
        <w:t>(</w:t>
      </w:r>
      <w:r w:rsidRPr="008343E1">
        <w:rPr>
          <w:rFonts w:ascii="Calibri" w:hAnsi="Calibri"/>
          <w:szCs w:val="24"/>
        </w:rPr>
        <w:t>1996</w:t>
      </w:r>
      <w:r w:rsidR="003C0CAB" w:rsidRPr="008343E1">
        <w:rPr>
          <w:rFonts w:ascii="Calibri" w:hAnsi="Calibri"/>
          <w:szCs w:val="24"/>
        </w:rPr>
        <w:t>)</w:t>
      </w:r>
      <w:r w:rsidRPr="008343E1">
        <w:rPr>
          <w:rFonts w:ascii="Calibri" w:hAnsi="Calibri"/>
          <w:szCs w:val="24"/>
        </w:rPr>
        <w:t xml:space="preserve">; Stanovich </w:t>
      </w:r>
      <w:r w:rsidR="003C0CAB" w:rsidRPr="008343E1">
        <w:rPr>
          <w:rFonts w:ascii="Calibri" w:hAnsi="Calibri"/>
          <w:szCs w:val="24"/>
        </w:rPr>
        <w:t>(</w:t>
      </w:r>
      <w:r w:rsidRPr="008343E1">
        <w:rPr>
          <w:rFonts w:ascii="Calibri" w:hAnsi="Calibri"/>
          <w:szCs w:val="24"/>
        </w:rPr>
        <w:t>1999)</w:t>
      </w:r>
      <w:r w:rsidR="003C0CAB" w:rsidRPr="008343E1">
        <w:rPr>
          <w:rFonts w:ascii="Calibri" w:hAnsi="Calibri"/>
          <w:szCs w:val="24"/>
        </w:rPr>
        <w:t>]</w:t>
      </w:r>
      <w:r w:rsidRPr="008343E1">
        <w:rPr>
          <w:rFonts w:ascii="Calibri" w:hAnsi="Calibri"/>
          <w:szCs w:val="24"/>
        </w:rPr>
        <w:t>.</w:t>
      </w:r>
    </w:p>
    <w:p w:rsidR="00C735CD" w:rsidRPr="008343E1" w:rsidRDefault="00C735CD" w:rsidP="00C735CD">
      <w:pPr>
        <w:spacing w:after="200" w:line="276" w:lineRule="auto"/>
        <w:rPr>
          <w:rFonts w:ascii="Calibri" w:hAnsi="Calibri"/>
          <w:szCs w:val="24"/>
        </w:rPr>
      </w:pPr>
      <w:r w:rsidRPr="008343E1">
        <w:rPr>
          <w:rFonts w:ascii="Calibri" w:hAnsi="Calibri"/>
          <w:szCs w:val="24"/>
        </w:rPr>
        <w:t xml:space="preserve">The motivation for this distinction is, in large part, an attempt to understand the distinction between intuition and reasoning. For example, there are well-known discrepancies between the two as seen in matching biases </w:t>
      </w:r>
      <w:r w:rsidR="0037098B" w:rsidRPr="008343E1">
        <w:rPr>
          <w:rFonts w:ascii="Calibri" w:hAnsi="Calibri"/>
          <w:szCs w:val="24"/>
        </w:rPr>
        <w:t>[</w:t>
      </w:r>
      <w:r w:rsidRPr="008343E1">
        <w:rPr>
          <w:rFonts w:ascii="Calibri" w:hAnsi="Calibri"/>
          <w:szCs w:val="24"/>
        </w:rPr>
        <w:t xml:space="preserve">Wason &amp; Evans </w:t>
      </w:r>
      <w:r w:rsidR="0037098B" w:rsidRPr="008343E1">
        <w:rPr>
          <w:rFonts w:ascii="Calibri" w:hAnsi="Calibri"/>
          <w:szCs w:val="24"/>
        </w:rPr>
        <w:t>(</w:t>
      </w:r>
      <w:r w:rsidRPr="008343E1">
        <w:rPr>
          <w:rFonts w:ascii="Calibri" w:hAnsi="Calibri"/>
          <w:szCs w:val="24"/>
        </w:rPr>
        <w:t>1975)</w:t>
      </w:r>
      <w:r w:rsidR="0037098B" w:rsidRPr="008343E1">
        <w:rPr>
          <w:rFonts w:ascii="Calibri" w:hAnsi="Calibri"/>
          <w:szCs w:val="24"/>
        </w:rPr>
        <w:t>]</w:t>
      </w:r>
      <w:r w:rsidRPr="008343E1">
        <w:rPr>
          <w:rFonts w:ascii="Calibri" w:hAnsi="Calibri"/>
          <w:szCs w:val="24"/>
        </w:rPr>
        <w:t>, and biases</w:t>
      </w:r>
      <w:r w:rsidR="00250E01" w:rsidRPr="008343E1">
        <w:rPr>
          <w:rFonts w:ascii="Calibri" w:hAnsi="Calibri"/>
          <w:szCs w:val="24"/>
        </w:rPr>
        <w:t xml:space="preserve"> pertaining to probabilistic reasoning</w:t>
      </w:r>
      <w:r w:rsidRPr="008343E1">
        <w:rPr>
          <w:rFonts w:ascii="Calibri" w:hAnsi="Calibri"/>
          <w:szCs w:val="24"/>
        </w:rPr>
        <w:t xml:space="preserve"> </w:t>
      </w:r>
      <w:r w:rsidR="0037098B" w:rsidRPr="008343E1">
        <w:rPr>
          <w:rFonts w:ascii="Calibri" w:hAnsi="Calibri"/>
          <w:szCs w:val="24"/>
        </w:rPr>
        <w:t>[</w:t>
      </w:r>
      <w:r w:rsidRPr="008343E1">
        <w:rPr>
          <w:rFonts w:ascii="Calibri" w:hAnsi="Calibri"/>
          <w:szCs w:val="24"/>
        </w:rPr>
        <w:t xml:space="preserve">Kahneman &amp; Tversky </w:t>
      </w:r>
      <w:r w:rsidR="0037098B" w:rsidRPr="008343E1">
        <w:rPr>
          <w:rFonts w:ascii="Calibri" w:hAnsi="Calibri"/>
          <w:szCs w:val="24"/>
        </w:rPr>
        <w:t>(</w:t>
      </w:r>
      <w:r w:rsidRPr="008343E1">
        <w:rPr>
          <w:rFonts w:ascii="Calibri" w:hAnsi="Calibri"/>
          <w:szCs w:val="24"/>
        </w:rPr>
        <w:t>1982)</w:t>
      </w:r>
      <w:r w:rsidR="00B54A8D" w:rsidRPr="008343E1">
        <w:rPr>
          <w:rFonts w:ascii="Calibri" w:hAnsi="Calibri"/>
          <w:szCs w:val="24"/>
        </w:rPr>
        <w:t>]</w:t>
      </w:r>
      <w:r w:rsidRPr="008343E1">
        <w:rPr>
          <w:rFonts w:ascii="Calibri" w:hAnsi="Calibri"/>
          <w:szCs w:val="24"/>
        </w:rPr>
        <w:t xml:space="preserve">. The latter are exemplified by the now infamous ‘Linda problem’ </w:t>
      </w:r>
      <w:r w:rsidR="00BB6139" w:rsidRPr="008343E1">
        <w:rPr>
          <w:rFonts w:ascii="Calibri" w:hAnsi="Calibri"/>
          <w:szCs w:val="24"/>
        </w:rPr>
        <w:t>[</w:t>
      </w:r>
      <w:r w:rsidRPr="008343E1">
        <w:rPr>
          <w:rFonts w:ascii="Calibri" w:hAnsi="Calibri"/>
          <w:szCs w:val="24"/>
        </w:rPr>
        <w:t xml:space="preserve">Tversky and Kahneman </w:t>
      </w:r>
      <w:r w:rsidR="00BB6139" w:rsidRPr="008343E1">
        <w:rPr>
          <w:rFonts w:ascii="Calibri" w:hAnsi="Calibri"/>
          <w:szCs w:val="24"/>
        </w:rPr>
        <w:t>(</w:t>
      </w:r>
      <w:r w:rsidRPr="008343E1">
        <w:rPr>
          <w:rFonts w:ascii="Calibri" w:hAnsi="Calibri"/>
          <w:szCs w:val="24"/>
        </w:rPr>
        <w:t>1982)</w:t>
      </w:r>
      <w:r w:rsidR="00BB6139" w:rsidRPr="008343E1">
        <w:rPr>
          <w:rFonts w:ascii="Calibri" w:hAnsi="Calibri"/>
          <w:szCs w:val="24"/>
        </w:rPr>
        <w:t>]</w:t>
      </w:r>
      <w:r w:rsidRPr="008343E1">
        <w:rPr>
          <w:rFonts w:ascii="Calibri" w:hAnsi="Calibri"/>
          <w:szCs w:val="24"/>
        </w:rPr>
        <w:t xml:space="preserve">. In such cases, around 90% of participants routinely and systematically give a response suggesting that the probability of a conjunction (A&amp;B) is greater than one of its conjuncts (A), (i.e. </w:t>
      </w:r>
      <w:proofErr w:type="gramStart"/>
      <w:r w:rsidRPr="008343E1">
        <w:rPr>
          <w:rFonts w:ascii="Calibri" w:hAnsi="Calibri"/>
          <w:szCs w:val="24"/>
        </w:rPr>
        <w:t>P(</w:t>
      </w:r>
      <w:proofErr w:type="gramEnd"/>
      <w:r w:rsidRPr="008343E1">
        <w:rPr>
          <w:rFonts w:ascii="Calibri" w:hAnsi="Calibri"/>
          <w:szCs w:val="24"/>
        </w:rPr>
        <w:t xml:space="preserve">A&amp;B) ≥ P(A)). One response to such evidence is to suggest that a ‘representative heuristic’ is involved in participant’s judgments, which is generated from T-1 processes. This, it is suggested, is indicative of a ‘belief bias’ </w:t>
      </w:r>
      <w:r w:rsidR="00A853B2" w:rsidRPr="008343E1">
        <w:rPr>
          <w:rFonts w:ascii="Calibri" w:hAnsi="Calibri"/>
          <w:szCs w:val="24"/>
        </w:rPr>
        <w:t>[</w:t>
      </w:r>
      <w:r w:rsidRPr="008343E1">
        <w:rPr>
          <w:rFonts w:ascii="Calibri" w:hAnsi="Calibri"/>
          <w:szCs w:val="24"/>
        </w:rPr>
        <w:t xml:space="preserve">Stanovich </w:t>
      </w:r>
      <w:r w:rsidR="00A853B2" w:rsidRPr="008343E1">
        <w:rPr>
          <w:rFonts w:ascii="Calibri" w:hAnsi="Calibri"/>
          <w:szCs w:val="24"/>
        </w:rPr>
        <w:t>(</w:t>
      </w:r>
      <w:r w:rsidRPr="008343E1">
        <w:rPr>
          <w:rFonts w:ascii="Calibri" w:hAnsi="Calibri"/>
          <w:szCs w:val="24"/>
        </w:rPr>
        <w:t>1999)</w:t>
      </w:r>
      <w:r w:rsidR="00A853B2" w:rsidRPr="008343E1">
        <w:rPr>
          <w:rFonts w:ascii="Calibri" w:hAnsi="Calibri"/>
          <w:szCs w:val="24"/>
        </w:rPr>
        <w:t>]</w:t>
      </w:r>
      <w:r w:rsidRPr="008343E1">
        <w:rPr>
          <w:rFonts w:ascii="Calibri" w:hAnsi="Calibri"/>
          <w:szCs w:val="24"/>
        </w:rPr>
        <w:t xml:space="preserve"> across human reasoning. The bias is also suggested by experiments where subjects presented with an invalid syllogism are asked to assess its validity </w:t>
      </w:r>
      <w:r w:rsidR="00C36FCA" w:rsidRPr="008343E1">
        <w:rPr>
          <w:rFonts w:ascii="Calibri" w:hAnsi="Calibri"/>
          <w:szCs w:val="24"/>
        </w:rPr>
        <w:t>[</w:t>
      </w:r>
      <w:r w:rsidRPr="008343E1">
        <w:rPr>
          <w:rFonts w:ascii="Calibri" w:hAnsi="Calibri"/>
          <w:szCs w:val="24"/>
        </w:rPr>
        <w:t xml:space="preserve">Sá, West &amp; Stanovich </w:t>
      </w:r>
      <w:r w:rsidR="00C36FCA" w:rsidRPr="008343E1">
        <w:rPr>
          <w:rFonts w:ascii="Calibri" w:hAnsi="Calibri"/>
          <w:szCs w:val="24"/>
        </w:rPr>
        <w:t>(</w:t>
      </w:r>
      <w:r w:rsidRPr="008343E1">
        <w:rPr>
          <w:rFonts w:ascii="Calibri" w:hAnsi="Calibri"/>
          <w:szCs w:val="24"/>
        </w:rPr>
        <w:t>1999)</w:t>
      </w:r>
      <w:r w:rsidR="00C36FCA" w:rsidRPr="008343E1">
        <w:rPr>
          <w:rFonts w:ascii="Calibri" w:hAnsi="Calibri"/>
          <w:szCs w:val="24"/>
        </w:rPr>
        <w:t>]</w:t>
      </w:r>
      <w:r w:rsidRPr="008343E1">
        <w:rPr>
          <w:rFonts w:ascii="Calibri" w:hAnsi="Calibri"/>
          <w:szCs w:val="24"/>
        </w:rPr>
        <w:t xml:space="preserve">. In cases where the conclusion is believable, 68% responded that it is valid. Similarly, there is evidence suggesting that subjects tend to reject valid arguments where the conclusion is unbelievable </w:t>
      </w:r>
      <w:r w:rsidR="002D6943" w:rsidRPr="008343E1">
        <w:rPr>
          <w:rFonts w:ascii="Calibri" w:hAnsi="Calibri"/>
          <w:szCs w:val="24"/>
        </w:rPr>
        <w:t>[</w:t>
      </w:r>
      <w:r w:rsidRPr="008343E1">
        <w:rPr>
          <w:rFonts w:ascii="Calibri" w:hAnsi="Calibri"/>
          <w:szCs w:val="24"/>
        </w:rPr>
        <w:t xml:space="preserve">Evans, Barston, &amp; Pollard </w:t>
      </w:r>
      <w:r w:rsidR="002D6943" w:rsidRPr="008343E1">
        <w:rPr>
          <w:rFonts w:ascii="Calibri" w:hAnsi="Calibri"/>
          <w:szCs w:val="24"/>
        </w:rPr>
        <w:t>(</w:t>
      </w:r>
      <w:r w:rsidRPr="008343E1">
        <w:rPr>
          <w:rFonts w:ascii="Calibri" w:hAnsi="Calibri"/>
          <w:szCs w:val="24"/>
        </w:rPr>
        <w:t>1983)</w:t>
      </w:r>
      <w:r w:rsidR="002D6943" w:rsidRPr="008343E1">
        <w:rPr>
          <w:rFonts w:ascii="Calibri" w:hAnsi="Calibri"/>
          <w:szCs w:val="24"/>
        </w:rPr>
        <w:t>]</w:t>
      </w:r>
      <w:r w:rsidRPr="008343E1">
        <w:rPr>
          <w:rFonts w:ascii="Calibri" w:hAnsi="Calibri"/>
          <w:szCs w:val="24"/>
        </w:rPr>
        <w:t xml:space="preserve">. Furthermore, DPTs provide plausible explanations of interpersonal variance in reasoning, </w:t>
      </w:r>
      <w:r w:rsidR="008B2D2B" w:rsidRPr="008343E1">
        <w:rPr>
          <w:rFonts w:ascii="Calibri" w:hAnsi="Calibri"/>
          <w:szCs w:val="24"/>
        </w:rPr>
        <w:t>[</w:t>
      </w:r>
      <w:r w:rsidRPr="008343E1">
        <w:rPr>
          <w:rFonts w:ascii="Calibri" w:hAnsi="Calibri"/>
          <w:szCs w:val="24"/>
        </w:rPr>
        <w:t xml:space="preserve">Stanovich </w:t>
      </w:r>
      <w:r w:rsidR="008B2D2B" w:rsidRPr="008343E1">
        <w:rPr>
          <w:rFonts w:ascii="Calibri" w:hAnsi="Calibri"/>
          <w:szCs w:val="24"/>
        </w:rPr>
        <w:t>(</w:t>
      </w:r>
      <w:r w:rsidRPr="008343E1">
        <w:rPr>
          <w:rFonts w:ascii="Calibri" w:hAnsi="Calibri"/>
          <w:szCs w:val="24"/>
        </w:rPr>
        <w:t>1999</w:t>
      </w:r>
      <w:r w:rsidR="008B2D2B" w:rsidRPr="008343E1">
        <w:rPr>
          <w:rFonts w:ascii="Calibri" w:hAnsi="Calibri"/>
          <w:szCs w:val="24"/>
        </w:rPr>
        <w:t>)</w:t>
      </w:r>
      <w:r w:rsidRPr="008343E1">
        <w:rPr>
          <w:rFonts w:ascii="Calibri" w:hAnsi="Calibri"/>
          <w:szCs w:val="24"/>
        </w:rPr>
        <w:t>; Stanovich and West</w:t>
      </w:r>
      <w:r w:rsidR="008B2D2B" w:rsidRPr="008343E1">
        <w:rPr>
          <w:rFonts w:ascii="Calibri" w:hAnsi="Calibri"/>
          <w:szCs w:val="24"/>
        </w:rPr>
        <w:t xml:space="preserve"> (</w:t>
      </w:r>
      <w:r w:rsidRPr="008343E1">
        <w:rPr>
          <w:rFonts w:ascii="Calibri" w:hAnsi="Calibri"/>
          <w:szCs w:val="24"/>
        </w:rPr>
        <w:t>1997)</w:t>
      </w:r>
      <w:r w:rsidR="008B2D2B" w:rsidRPr="008343E1">
        <w:rPr>
          <w:rFonts w:ascii="Calibri" w:hAnsi="Calibri"/>
          <w:szCs w:val="24"/>
        </w:rPr>
        <w:t>]</w:t>
      </w:r>
      <w:proofErr w:type="gramStart"/>
      <w:r w:rsidRPr="008343E1">
        <w:rPr>
          <w:rFonts w:ascii="Calibri" w:hAnsi="Calibri"/>
          <w:szCs w:val="24"/>
        </w:rPr>
        <w:t>;</w:t>
      </w:r>
      <w:proofErr w:type="gramEnd"/>
      <w:r w:rsidRPr="008343E1">
        <w:rPr>
          <w:rFonts w:ascii="Calibri" w:hAnsi="Calibri"/>
          <w:szCs w:val="24"/>
        </w:rPr>
        <w:t xml:space="preserve"> and cross-cultural variation in reasoning  </w:t>
      </w:r>
      <w:r w:rsidR="008B2D2B" w:rsidRPr="008343E1">
        <w:rPr>
          <w:rFonts w:ascii="Calibri" w:hAnsi="Calibri"/>
          <w:szCs w:val="24"/>
        </w:rPr>
        <w:t>[</w:t>
      </w:r>
      <w:r w:rsidRPr="008343E1">
        <w:rPr>
          <w:rFonts w:ascii="Calibri" w:hAnsi="Calibri"/>
          <w:szCs w:val="24"/>
        </w:rPr>
        <w:t xml:space="preserve">Norenzayan et al. </w:t>
      </w:r>
      <w:r w:rsidR="008B2D2B" w:rsidRPr="008343E1">
        <w:rPr>
          <w:rFonts w:ascii="Calibri" w:hAnsi="Calibri"/>
          <w:szCs w:val="24"/>
        </w:rPr>
        <w:t>(</w:t>
      </w:r>
      <w:r w:rsidRPr="008343E1">
        <w:rPr>
          <w:rFonts w:ascii="Calibri" w:hAnsi="Calibri"/>
          <w:szCs w:val="24"/>
        </w:rPr>
        <w:t>2002)</w:t>
      </w:r>
      <w:r w:rsidR="008B2D2B" w:rsidRPr="008343E1">
        <w:rPr>
          <w:rFonts w:ascii="Calibri" w:hAnsi="Calibri"/>
          <w:szCs w:val="24"/>
        </w:rPr>
        <w:t>]</w:t>
      </w:r>
      <w:r w:rsidRPr="008343E1">
        <w:rPr>
          <w:rFonts w:ascii="Calibri" w:hAnsi="Calibri"/>
          <w:szCs w:val="24"/>
        </w:rPr>
        <w:t>.</w:t>
      </w:r>
    </w:p>
    <w:p w:rsidR="000708F8" w:rsidRPr="008343E1" w:rsidDel="00282540" w:rsidRDefault="00C735CD" w:rsidP="00C735CD">
      <w:pPr>
        <w:spacing w:after="200" w:line="276" w:lineRule="auto"/>
        <w:rPr>
          <w:rFonts w:ascii="Calibri" w:hAnsi="Calibri"/>
          <w:szCs w:val="24"/>
        </w:rPr>
      </w:pPr>
      <w:r w:rsidRPr="008343E1">
        <w:rPr>
          <w:rFonts w:ascii="Calibri" w:hAnsi="Calibri"/>
          <w:szCs w:val="24"/>
        </w:rPr>
        <w:t>DPTs deal with these results by suggesting that these cases involve bringing prior beliefs to bear upon reasoning as a result of fast, automatic, associative T-1 processes.</w:t>
      </w:r>
      <w:r w:rsidR="000708F8" w:rsidRPr="008343E1">
        <w:rPr>
          <w:rStyle w:val="EndnoteReference"/>
          <w:rFonts w:ascii="Calibri" w:hAnsi="Calibri"/>
          <w:szCs w:val="24"/>
        </w:rPr>
        <w:endnoteReference w:id="3"/>
      </w:r>
      <w:r w:rsidR="000708F8" w:rsidRPr="008343E1">
        <w:rPr>
          <w:rFonts w:ascii="Calibri" w:hAnsi="Calibri"/>
          <w:szCs w:val="24"/>
        </w:rPr>
        <w:t xml:space="preserve"> These in turn, are thought to require ‘override’, or inhibition, by engaging slow, reflective, analytic T-2 processes </w:t>
      </w:r>
      <w:r w:rsidR="007E031A" w:rsidRPr="008343E1">
        <w:rPr>
          <w:rFonts w:ascii="Calibri" w:hAnsi="Calibri"/>
          <w:szCs w:val="24"/>
        </w:rPr>
        <w:t>[</w:t>
      </w:r>
      <w:r w:rsidR="000708F8" w:rsidRPr="008343E1">
        <w:rPr>
          <w:rFonts w:ascii="Calibri" w:hAnsi="Calibri"/>
          <w:szCs w:val="24"/>
        </w:rPr>
        <w:t xml:space="preserve">Stanovich &amp; West </w:t>
      </w:r>
      <w:r w:rsidR="007E031A" w:rsidRPr="008343E1">
        <w:rPr>
          <w:rFonts w:ascii="Calibri" w:hAnsi="Calibri"/>
          <w:szCs w:val="24"/>
        </w:rPr>
        <w:t>(</w:t>
      </w:r>
      <w:r w:rsidR="000708F8" w:rsidRPr="008343E1">
        <w:rPr>
          <w:rFonts w:ascii="Calibri" w:hAnsi="Calibri"/>
          <w:szCs w:val="24"/>
        </w:rPr>
        <w:t>2000</w:t>
      </w:r>
      <w:r w:rsidR="007E031A" w:rsidRPr="008343E1">
        <w:rPr>
          <w:rFonts w:ascii="Calibri" w:hAnsi="Calibri"/>
          <w:szCs w:val="24"/>
        </w:rPr>
        <w:t>)</w:t>
      </w:r>
      <w:r w:rsidR="000708F8" w:rsidRPr="008343E1">
        <w:rPr>
          <w:rFonts w:ascii="Calibri" w:hAnsi="Calibri"/>
          <w:szCs w:val="24"/>
        </w:rPr>
        <w:t xml:space="preserve">; Chen &amp; Chaiken </w:t>
      </w:r>
      <w:r w:rsidR="007E031A" w:rsidRPr="008343E1">
        <w:rPr>
          <w:rFonts w:ascii="Calibri" w:hAnsi="Calibri"/>
          <w:szCs w:val="24"/>
        </w:rPr>
        <w:t>(</w:t>
      </w:r>
      <w:r w:rsidR="000708F8" w:rsidRPr="008343E1">
        <w:rPr>
          <w:rFonts w:ascii="Calibri" w:hAnsi="Calibri"/>
          <w:szCs w:val="24"/>
        </w:rPr>
        <w:t>1999)</w:t>
      </w:r>
      <w:r w:rsidR="007E031A" w:rsidRPr="008343E1">
        <w:rPr>
          <w:rFonts w:ascii="Calibri" w:hAnsi="Calibri"/>
          <w:szCs w:val="24"/>
        </w:rPr>
        <w:t>]</w:t>
      </w:r>
      <w:r w:rsidR="000708F8" w:rsidRPr="008343E1">
        <w:rPr>
          <w:rFonts w:ascii="Calibri" w:hAnsi="Calibri"/>
          <w:szCs w:val="24"/>
        </w:rPr>
        <w:t xml:space="preserve">. Many theorists have gone on to suggest that the two processes are distinct enough to be characterized as two cognitive systems </w:t>
      </w:r>
      <w:r w:rsidR="007E031A" w:rsidRPr="008343E1">
        <w:rPr>
          <w:rFonts w:ascii="Calibri" w:hAnsi="Calibri"/>
          <w:szCs w:val="24"/>
        </w:rPr>
        <w:t>[</w:t>
      </w:r>
      <w:r w:rsidR="000708F8" w:rsidRPr="008343E1">
        <w:rPr>
          <w:rFonts w:ascii="Calibri" w:hAnsi="Calibri"/>
          <w:szCs w:val="24"/>
        </w:rPr>
        <w:t xml:space="preserve">Epstein </w:t>
      </w:r>
      <w:r w:rsidR="007E031A" w:rsidRPr="008343E1">
        <w:rPr>
          <w:rFonts w:ascii="Calibri" w:hAnsi="Calibri"/>
          <w:szCs w:val="24"/>
        </w:rPr>
        <w:t>(</w:t>
      </w:r>
      <w:r w:rsidR="000708F8" w:rsidRPr="008343E1">
        <w:rPr>
          <w:rFonts w:ascii="Calibri" w:hAnsi="Calibri"/>
          <w:szCs w:val="24"/>
        </w:rPr>
        <w:t>1994</w:t>
      </w:r>
      <w:r w:rsidR="007E031A" w:rsidRPr="008343E1">
        <w:rPr>
          <w:rFonts w:ascii="Calibri" w:hAnsi="Calibri"/>
          <w:szCs w:val="24"/>
        </w:rPr>
        <w:t>)</w:t>
      </w:r>
      <w:r w:rsidR="000708F8" w:rsidRPr="008343E1">
        <w:rPr>
          <w:rFonts w:ascii="Calibri" w:hAnsi="Calibri"/>
          <w:szCs w:val="24"/>
        </w:rPr>
        <w:t xml:space="preserve">; Evans </w:t>
      </w:r>
      <w:r w:rsidR="007E031A" w:rsidRPr="008343E1">
        <w:rPr>
          <w:rFonts w:ascii="Calibri" w:hAnsi="Calibri"/>
          <w:szCs w:val="24"/>
        </w:rPr>
        <w:t>(</w:t>
      </w:r>
      <w:r w:rsidR="000708F8" w:rsidRPr="008343E1">
        <w:rPr>
          <w:rFonts w:ascii="Calibri" w:hAnsi="Calibri"/>
          <w:szCs w:val="24"/>
        </w:rPr>
        <w:t>1989</w:t>
      </w:r>
      <w:r w:rsidR="007E031A" w:rsidRPr="008343E1">
        <w:rPr>
          <w:rFonts w:ascii="Calibri" w:hAnsi="Calibri"/>
          <w:szCs w:val="24"/>
        </w:rPr>
        <w:t>)</w:t>
      </w:r>
      <w:r w:rsidR="000708F8" w:rsidRPr="008343E1">
        <w:rPr>
          <w:rFonts w:ascii="Calibri" w:hAnsi="Calibri"/>
          <w:szCs w:val="24"/>
        </w:rPr>
        <w:t xml:space="preserve">; Evans &amp; Over </w:t>
      </w:r>
      <w:r w:rsidR="007E031A" w:rsidRPr="008343E1">
        <w:rPr>
          <w:rFonts w:ascii="Calibri" w:hAnsi="Calibri"/>
          <w:szCs w:val="24"/>
        </w:rPr>
        <w:t>(</w:t>
      </w:r>
      <w:r w:rsidR="000708F8" w:rsidRPr="008343E1">
        <w:rPr>
          <w:rFonts w:ascii="Calibri" w:hAnsi="Calibri"/>
          <w:szCs w:val="24"/>
        </w:rPr>
        <w:t>1996</w:t>
      </w:r>
      <w:r w:rsidR="007E031A" w:rsidRPr="008343E1">
        <w:rPr>
          <w:rFonts w:ascii="Calibri" w:hAnsi="Calibri"/>
          <w:szCs w:val="24"/>
        </w:rPr>
        <w:t>)</w:t>
      </w:r>
      <w:r w:rsidR="000708F8" w:rsidRPr="008343E1">
        <w:rPr>
          <w:rFonts w:ascii="Calibri" w:hAnsi="Calibri"/>
          <w:szCs w:val="24"/>
        </w:rPr>
        <w:t xml:space="preserve">; Sloman </w:t>
      </w:r>
      <w:r w:rsidR="007E031A" w:rsidRPr="008343E1">
        <w:rPr>
          <w:rFonts w:ascii="Calibri" w:hAnsi="Calibri"/>
          <w:szCs w:val="24"/>
        </w:rPr>
        <w:t>(</w:t>
      </w:r>
      <w:r w:rsidR="000708F8" w:rsidRPr="008343E1">
        <w:rPr>
          <w:rFonts w:ascii="Calibri" w:hAnsi="Calibri"/>
          <w:szCs w:val="24"/>
        </w:rPr>
        <w:t>1996</w:t>
      </w:r>
      <w:r w:rsidR="007E031A" w:rsidRPr="008343E1">
        <w:rPr>
          <w:rFonts w:ascii="Calibri" w:hAnsi="Calibri"/>
          <w:szCs w:val="24"/>
        </w:rPr>
        <w:t>)</w:t>
      </w:r>
      <w:r w:rsidR="000708F8" w:rsidRPr="008343E1">
        <w:rPr>
          <w:rFonts w:ascii="Calibri" w:hAnsi="Calibri"/>
          <w:szCs w:val="24"/>
        </w:rPr>
        <w:t xml:space="preserve">; Stanovich </w:t>
      </w:r>
      <w:r w:rsidR="007E031A" w:rsidRPr="008343E1">
        <w:rPr>
          <w:rFonts w:ascii="Calibri" w:hAnsi="Calibri"/>
          <w:szCs w:val="24"/>
        </w:rPr>
        <w:t>(</w:t>
      </w:r>
      <w:r w:rsidR="000708F8" w:rsidRPr="008343E1">
        <w:rPr>
          <w:rFonts w:ascii="Calibri" w:hAnsi="Calibri"/>
          <w:szCs w:val="24"/>
        </w:rPr>
        <w:t>1999)</w:t>
      </w:r>
      <w:r w:rsidR="007E031A" w:rsidRPr="008343E1">
        <w:rPr>
          <w:rFonts w:ascii="Calibri" w:hAnsi="Calibri"/>
          <w:szCs w:val="24"/>
        </w:rPr>
        <w:t>]</w:t>
      </w:r>
      <w:r w:rsidR="000708F8" w:rsidRPr="008343E1">
        <w:rPr>
          <w:rFonts w:ascii="Calibri" w:hAnsi="Calibri"/>
          <w:szCs w:val="24"/>
        </w:rPr>
        <w:t xml:space="preserve">, even though DPTs are not homogeneous.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More specifically, T-2 processing is generally slow and sequential, and involved in general intelligence processing such as hypothetical thinking, mental simulation, and decision-making </w:t>
      </w:r>
      <w:r w:rsidR="00CB0982" w:rsidRPr="008343E1">
        <w:rPr>
          <w:rFonts w:ascii="Calibri" w:hAnsi="Calibri"/>
          <w:szCs w:val="24"/>
          <w:lang w:eastAsia="en-US"/>
        </w:rPr>
        <w:t>[</w:t>
      </w:r>
      <w:r w:rsidRPr="008343E1">
        <w:rPr>
          <w:rFonts w:ascii="Calibri" w:hAnsi="Calibri"/>
          <w:szCs w:val="24"/>
          <w:lang w:eastAsia="en-US"/>
        </w:rPr>
        <w:t xml:space="preserve">Evans </w:t>
      </w:r>
      <w:r w:rsidR="00CB0982" w:rsidRPr="008343E1">
        <w:rPr>
          <w:rFonts w:ascii="Calibri" w:hAnsi="Calibri"/>
          <w:szCs w:val="24"/>
          <w:lang w:eastAsia="en-US"/>
        </w:rPr>
        <w:t>(</w:t>
      </w:r>
      <w:r w:rsidRPr="008343E1">
        <w:rPr>
          <w:rFonts w:ascii="Calibri" w:hAnsi="Calibri"/>
          <w:szCs w:val="24"/>
          <w:lang w:eastAsia="en-US"/>
        </w:rPr>
        <w:t>2007; 2010)</w:t>
      </w:r>
      <w:r w:rsidR="00CB0982" w:rsidRPr="008343E1">
        <w:rPr>
          <w:rFonts w:ascii="Calibri" w:hAnsi="Calibri"/>
          <w:szCs w:val="24"/>
          <w:lang w:eastAsia="en-US"/>
        </w:rPr>
        <w:t>]</w:t>
      </w:r>
      <w:r w:rsidRPr="008343E1">
        <w:rPr>
          <w:rFonts w:ascii="Calibri" w:hAnsi="Calibri"/>
          <w:szCs w:val="24"/>
          <w:lang w:eastAsia="en-US"/>
        </w:rPr>
        <w:t xml:space="preserve">. According to </w:t>
      </w:r>
      <w:r w:rsidR="000E6550" w:rsidRPr="008343E1">
        <w:rPr>
          <w:rFonts w:ascii="Calibri" w:hAnsi="Calibri"/>
          <w:szCs w:val="24"/>
          <w:lang w:eastAsia="en-US"/>
        </w:rPr>
        <w:t>[</w:t>
      </w:r>
      <w:r w:rsidRPr="008343E1">
        <w:rPr>
          <w:rFonts w:ascii="Calibri" w:hAnsi="Calibri"/>
          <w:szCs w:val="24"/>
          <w:lang w:eastAsia="en-US"/>
        </w:rPr>
        <w:t>Evans &amp; Stanovich (2013)</w:t>
      </w:r>
      <w:r w:rsidR="000E6550" w:rsidRPr="008343E1">
        <w:rPr>
          <w:rFonts w:ascii="Calibri" w:hAnsi="Calibri"/>
          <w:szCs w:val="24"/>
          <w:lang w:eastAsia="en-US"/>
        </w:rPr>
        <w:t>]</w:t>
      </w:r>
      <w:r w:rsidRPr="008343E1">
        <w:rPr>
          <w:rFonts w:ascii="Calibri" w:hAnsi="Calibri"/>
          <w:szCs w:val="24"/>
          <w:lang w:eastAsia="en-US"/>
        </w:rPr>
        <w:t xml:space="preserve">, hypothetical reasoning requires a ‘cognitive decoupling’, i.e. keeping real-world representations separate from representations of imaginary situations, such as planning, counterfactual reasoning and so forth. Cognitive decoupling is the central feature of T-2 processing </w:t>
      </w:r>
      <w:r w:rsidR="00C951DD" w:rsidRPr="008343E1">
        <w:rPr>
          <w:rFonts w:ascii="Calibri" w:hAnsi="Calibri"/>
          <w:szCs w:val="24"/>
          <w:lang w:eastAsia="en-US"/>
        </w:rPr>
        <w:t>[</w:t>
      </w:r>
      <w:r w:rsidRPr="008343E1">
        <w:rPr>
          <w:rFonts w:ascii="Calibri" w:hAnsi="Calibri"/>
          <w:szCs w:val="24"/>
          <w:lang w:eastAsia="en-US"/>
        </w:rPr>
        <w:t xml:space="preserve">Stanovich </w:t>
      </w:r>
      <w:r w:rsidR="00C951DD" w:rsidRPr="008343E1">
        <w:rPr>
          <w:rFonts w:ascii="Calibri" w:hAnsi="Calibri"/>
          <w:szCs w:val="24"/>
          <w:lang w:eastAsia="en-US"/>
        </w:rPr>
        <w:t>(</w:t>
      </w:r>
      <w:r w:rsidRPr="008343E1">
        <w:rPr>
          <w:rFonts w:ascii="Calibri" w:hAnsi="Calibri"/>
          <w:szCs w:val="24"/>
          <w:lang w:eastAsia="en-US"/>
        </w:rPr>
        <w:t>2009</w:t>
      </w:r>
      <w:r w:rsidR="006B0A49" w:rsidRPr="008343E1">
        <w:rPr>
          <w:rFonts w:ascii="Calibri" w:hAnsi="Calibri"/>
          <w:szCs w:val="24"/>
          <w:lang w:eastAsia="en-US"/>
        </w:rPr>
        <w:t>;</w:t>
      </w:r>
      <w:r w:rsidRPr="008343E1">
        <w:rPr>
          <w:rFonts w:ascii="Calibri" w:hAnsi="Calibri"/>
          <w:szCs w:val="24"/>
          <w:lang w:eastAsia="en-US"/>
        </w:rPr>
        <w:t xml:space="preserve"> 2011)</w:t>
      </w:r>
      <w:r w:rsidR="00C951DD" w:rsidRPr="008343E1">
        <w:rPr>
          <w:rFonts w:ascii="Calibri" w:hAnsi="Calibri"/>
          <w:szCs w:val="24"/>
          <w:lang w:eastAsia="en-US"/>
        </w:rPr>
        <w:t>]</w:t>
      </w:r>
      <w:r w:rsidRPr="008343E1">
        <w:rPr>
          <w:rFonts w:ascii="Calibri" w:hAnsi="Calibri"/>
          <w:szCs w:val="24"/>
          <w:lang w:eastAsia="en-US"/>
        </w:rPr>
        <w:t xml:space="preserve">. Finally, according to DPTs working memory becomes engaged </w:t>
      </w:r>
      <w:r w:rsidRPr="008343E1">
        <w:rPr>
          <w:rFonts w:ascii="Calibri" w:hAnsi="Calibri"/>
          <w:i/>
          <w:szCs w:val="24"/>
          <w:lang w:eastAsia="en-US"/>
        </w:rPr>
        <w:t xml:space="preserve">only </w:t>
      </w:r>
      <w:r w:rsidRPr="008343E1">
        <w:rPr>
          <w:rFonts w:ascii="Calibri" w:hAnsi="Calibri"/>
          <w:szCs w:val="24"/>
          <w:lang w:eastAsia="en-US"/>
        </w:rPr>
        <w:t xml:space="preserve">in T-2 processing. </w:t>
      </w:r>
    </w:p>
    <w:p w:rsidR="000708F8" w:rsidRPr="008343E1" w:rsidRDefault="000708F8" w:rsidP="00C735CD">
      <w:pPr>
        <w:widowControl w:val="0"/>
        <w:autoSpaceDE w:val="0"/>
        <w:autoSpaceDN w:val="0"/>
        <w:adjustRightInd w:val="0"/>
        <w:spacing w:after="200" w:line="276" w:lineRule="auto"/>
        <w:rPr>
          <w:rFonts w:ascii="Calibri" w:hAnsi="Calibri"/>
          <w:szCs w:val="24"/>
        </w:rPr>
      </w:pPr>
      <w:r w:rsidRPr="008343E1">
        <w:rPr>
          <w:rFonts w:ascii="Calibri" w:hAnsi="Calibri"/>
          <w:szCs w:val="24"/>
        </w:rPr>
        <w:t xml:space="preserve">Unlike T-2, T-1 processes are largely autonomous in the sense that they do not require ‘controlled attention’ and in turn have minimal demands on working memory resources. Execution of T-1 processes is initiated </w:t>
      </w:r>
      <w:r w:rsidRPr="008343E1">
        <w:rPr>
          <w:rFonts w:ascii="Calibri" w:hAnsi="Calibri"/>
          <w:i/>
          <w:szCs w:val="24"/>
        </w:rPr>
        <w:t>only</w:t>
      </w:r>
      <w:r w:rsidRPr="008343E1">
        <w:rPr>
          <w:rFonts w:ascii="Calibri" w:hAnsi="Calibri"/>
          <w:szCs w:val="24"/>
        </w:rPr>
        <w:t xml:space="preserve"> in a bottom-up manner in the sense that they are triggered on presence of the appropriate stimulus in the subject’s vicinity. Operation of T-1 is mandatory and independent from higher-level cognition,</w:t>
      </w:r>
      <w:r w:rsidRPr="008343E1">
        <w:rPr>
          <w:rFonts w:ascii="Calibri" w:hAnsi="Calibri"/>
          <w:szCs w:val="24"/>
          <w:lang w:eastAsia="en-US"/>
        </w:rPr>
        <w:t xml:space="preserve"> </w:t>
      </w:r>
      <w:r w:rsidR="00B5367A" w:rsidRPr="008343E1">
        <w:rPr>
          <w:rFonts w:ascii="Calibri" w:hAnsi="Calibri"/>
          <w:szCs w:val="24"/>
          <w:lang w:eastAsia="en-US"/>
        </w:rPr>
        <w:t>[</w:t>
      </w:r>
      <w:r w:rsidRPr="008343E1">
        <w:rPr>
          <w:rFonts w:ascii="Calibri" w:hAnsi="Calibri"/>
          <w:szCs w:val="24"/>
          <w:lang w:eastAsia="en-US"/>
        </w:rPr>
        <w:t>Stanovich (2004</w:t>
      </w:r>
      <w:r w:rsidR="00145A45" w:rsidRPr="008343E1">
        <w:rPr>
          <w:rFonts w:ascii="Calibri" w:hAnsi="Calibri"/>
          <w:szCs w:val="24"/>
          <w:lang w:eastAsia="en-US"/>
        </w:rPr>
        <w:t>;</w:t>
      </w:r>
      <w:r w:rsidRPr="008343E1">
        <w:rPr>
          <w:rFonts w:ascii="Calibri" w:hAnsi="Calibri"/>
          <w:szCs w:val="24"/>
          <w:lang w:eastAsia="en-US"/>
        </w:rPr>
        <w:t xml:space="preserve"> 2009a</w:t>
      </w:r>
      <w:r w:rsidR="00145A45" w:rsidRPr="008343E1">
        <w:rPr>
          <w:rFonts w:ascii="Calibri" w:hAnsi="Calibri"/>
          <w:szCs w:val="24"/>
          <w:lang w:eastAsia="en-US"/>
        </w:rPr>
        <w:t>;</w:t>
      </w:r>
      <w:r w:rsidRPr="008343E1">
        <w:rPr>
          <w:rFonts w:ascii="Calibri" w:hAnsi="Calibri"/>
          <w:szCs w:val="24"/>
          <w:lang w:eastAsia="en-US"/>
        </w:rPr>
        <w:t xml:space="preserve"> 2011)</w:t>
      </w:r>
      <w:r w:rsidR="00B5367A" w:rsidRPr="008343E1">
        <w:rPr>
          <w:rFonts w:ascii="Calibri" w:hAnsi="Calibri"/>
          <w:szCs w:val="24"/>
          <w:lang w:eastAsia="en-US"/>
        </w:rPr>
        <w:t>]</w:t>
      </w:r>
      <w:r w:rsidRPr="008343E1">
        <w:rPr>
          <w:rFonts w:ascii="Calibri" w:hAnsi="Calibri"/>
          <w:szCs w:val="24"/>
        </w:rPr>
        <w:t xml:space="preserve">. Despite the fact that all T-1 processes share an autonomous nature, they should not be construed as similar – let alone identical – with regards to their </w:t>
      </w:r>
      <w:r w:rsidRPr="008343E1">
        <w:rPr>
          <w:rFonts w:ascii="Calibri" w:hAnsi="Calibri"/>
          <w:szCs w:val="24"/>
          <w:lang w:eastAsia="en-US"/>
        </w:rPr>
        <w:t>neurophysiology and etiology.</w:t>
      </w:r>
    </w:p>
    <w:p w:rsidR="000708F8" w:rsidRPr="008343E1" w:rsidRDefault="000708F8" w:rsidP="00C735CD">
      <w:pPr>
        <w:widowControl w:val="0"/>
        <w:autoSpaceDE w:val="0"/>
        <w:autoSpaceDN w:val="0"/>
        <w:adjustRightInd w:val="0"/>
        <w:spacing w:after="200" w:line="276" w:lineRule="auto"/>
        <w:rPr>
          <w:rFonts w:ascii="Calibri" w:hAnsi="Calibri"/>
          <w:b/>
          <w:szCs w:val="24"/>
          <w:lang w:eastAsia="en-US"/>
        </w:rPr>
      </w:pPr>
    </w:p>
    <w:p w:rsidR="000708F8" w:rsidRPr="008343E1" w:rsidRDefault="000708F8" w:rsidP="00C735CD">
      <w:pPr>
        <w:spacing w:after="200" w:line="276" w:lineRule="auto"/>
        <w:rPr>
          <w:rFonts w:ascii="Calibri" w:hAnsi="Calibri"/>
          <w:b/>
          <w:szCs w:val="24"/>
          <w:lang w:val="en-US"/>
        </w:rPr>
      </w:pPr>
      <w:r w:rsidRPr="008343E1">
        <w:rPr>
          <w:rFonts w:ascii="Calibri" w:hAnsi="Calibri"/>
          <w:b/>
          <w:szCs w:val="24"/>
          <w:lang w:val="en-US"/>
        </w:rPr>
        <w:t>1.2 Issues with the Two-Systems approach</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Whilst there has been much consensus regarding the distinction between T-1 and T-2 cognitive processes, the suggestion that there are two distinct cognitive systems has recently come under fire, and has been rejected by many of its original proponents </w:t>
      </w:r>
      <w:r w:rsidR="00414786" w:rsidRPr="008343E1">
        <w:rPr>
          <w:rFonts w:ascii="Calibri" w:hAnsi="Calibri"/>
          <w:szCs w:val="24"/>
        </w:rPr>
        <w:t>[</w:t>
      </w:r>
      <w:r w:rsidRPr="008343E1">
        <w:rPr>
          <w:rFonts w:ascii="Calibri" w:hAnsi="Calibri"/>
          <w:szCs w:val="24"/>
        </w:rPr>
        <w:t xml:space="preserve">Evans </w:t>
      </w:r>
      <w:r w:rsidR="00414786" w:rsidRPr="008343E1">
        <w:rPr>
          <w:rFonts w:ascii="Calibri" w:hAnsi="Calibri"/>
          <w:szCs w:val="24"/>
        </w:rPr>
        <w:t>(</w:t>
      </w:r>
      <w:r w:rsidRPr="008343E1">
        <w:rPr>
          <w:rFonts w:ascii="Calibri" w:hAnsi="Calibri"/>
          <w:szCs w:val="24"/>
        </w:rPr>
        <w:t>2006</w:t>
      </w:r>
      <w:r w:rsidR="00414786" w:rsidRPr="008343E1">
        <w:rPr>
          <w:rFonts w:ascii="Calibri" w:hAnsi="Calibri"/>
          <w:szCs w:val="24"/>
        </w:rPr>
        <w:t>)</w:t>
      </w:r>
      <w:r w:rsidRPr="008343E1">
        <w:rPr>
          <w:rFonts w:ascii="Calibri" w:hAnsi="Calibri"/>
          <w:szCs w:val="24"/>
        </w:rPr>
        <w:t xml:space="preserve">; Stanovich </w:t>
      </w:r>
      <w:r w:rsidR="001E5211" w:rsidRPr="008343E1">
        <w:rPr>
          <w:rFonts w:ascii="Calibri" w:hAnsi="Calibri"/>
          <w:szCs w:val="24"/>
        </w:rPr>
        <w:t>(</w:t>
      </w:r>
      <w:r w:rsidRPr="008343E1">
        <w:rPr>
          <w:rFonts w:ascii="Calibri" w:hAnsi="Calibri"/>
          <w:szCs w:val="24"/>
        </w:rPr>
        <w:t>2009)</w:t>
      </w:r>
      <w:r w:rsidR="00414786" w:rsidRPr="008343E1">
        <w:rPr>
          <w:rFonts w:ascii="Calibri" w:hAnsi="Calibri"/>
          <w:szCs w:val="24"/>
        </w:rPr>
        <w:t>]</w:t>
      </w:r>
      <w:r w:rsidRPr="008343E1">
        <w:rPr>
          <w:rFonts w:ascii="Calibri" w:hAnsi="Calibri"/>
          <w:szCs w:val="24"/>
        </w:rPr>
        <w:t>.</w:t>
      </w:r>
      <w:r w:rsidRPr="008343E1">
        <w:rPr>
          <w:rStyle w:val="EndnoteReference"/>
          <w:rFonts w:ascii="Calibri" w:hAnsi="Calibri"/>
          <w:szCs w:val="24"/>
        </w:rPr>
        <w:endnoteReference w:id="4"/>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Nonetheless, it remains central to this programme that biases result from intuitions that require override through reason and analysis, and only participants that can suppress their intuitive response can correct their mistakes in relation to a normative theory. This view is bolstered by experimental data suggesting that subjects that are primed by making the normative structure apparent more successfully return the normatively ‘correct’ response (by e.g. the use of Euler circles, </w:t>
      </w:r>
      <w:r w:rsidR="0041352C" w:rsidRPr="008343E1">
        <w:rPr>
          <w:rFonts w:ascii="Calibri" w:hAnsi="Calibri"/>
          <w:szCs w:val="24"/>
        </w:rPr>
        <w:t>[</w:t>
      </w:r>
      <w:r w:rsidRPr="008343E1">
        <w:rPr>
          <w:rFonts w:ascii="Calibri" w:hAnsi="Calibri"/>
          <w:szCs w:val="24"/>
        </w:rPr>
        <w:t xml:space="preserve">Sloman &amp; Over </w:t>
      </w:r>
      <w:r w:rsidR="0041352C" w:rsidRPr="008343E1">
        <w:rPr>
          <w:rFonts w:ascii="Calibri" w:hAnsi="Calibri"/>
          <w:szCs w:val="24"/>
        </w:rPr>
        <w:t>(</w:t>
      </w:r>
      <w:r w:rsidRPr="008343E1">
        <w:rPr>
          <w:rFonts w:ascii="Calibri" w:hAnsi="Calibri"/>
          <w:szCs w:val="24"/>
        </w:rPr>
        <w:t>2003</w:t>
      </w:r>
      <w:r w:rsidR="0041352C" w:rsidRPr="008343E1">
        <w:rPr>
          <w:rFonts w:ascii="Calibri" w:hAnsi="Calibri"/>
          <w:szCs w:val="24"/>
        </w:rPr>
        <w:t>)]</w:t>
      </w:r>
      <w:r w:rsidRPr="008343E1">
        <w:rPr>
          <w:rFonts w:ascii="Calibri" w:hAnsi="Calibri"/>
          <w:szCs w:val="24"/>
        </w:rPr>
        <w:t xml:space="preserve">; or using ‘foreign’ terms to construct syllogism’s, </w:t>
      </w:r>
      <w:r w:rsidR="00A31CD6" w:rsidRPr="008343E1">
        <w:rPr>
          <w:rFonts w:ascii="Calibri" w:hAnsi="Calibri"/>
          <w:szCs w:val="24"/>
        </w:rPr>
        <w:t>[</w:t>
      </w:r>
      <w:r w:rsidRPr="008343E1">
        <w:rPr>
          <w:rFonts w:ascii="Calibri" w:hAnsi="Calibri"/>
          <w:szCs w:val="24"/>
        </w:rPr>
        <w:t xml:space="preserve">Sá, West &amp; Stanovich </w:t>
      </w:r>
      <w:r w:rsidR="00A31CD6" w:rsidRPr="008343E1">
        <w:rPr>
          <w:rFonts w:ascii="Calibri" w:hAnsi="Calibri"/>
          <w:szCs w:val="24"/>
        </w:rPr>
        <w:t>(</w:t>
      </w:r>
      <w:r w:rsidRPr="008343E1">
        <w:rPr>
          <w:rFonts w:ascii="Calibri" w:hAnsi="Calibri"/>
          <w:szCs w:val="24"/>
        </w:rPr>
        <w:t>1999)</w:t>
      </w:r>
      <w:r w:rsidR="00A31CD6" w:rsidRPr="008343E1">
        <w:rPr>
          <w:rFonts w:ascii="Calibri" w:hAnsi="Calibri"/>
          <w:szCs w:val="24"/>
        </w:rPr>
        <w:t>]</w:t>
      </w:r>
      <w:r w:rsidRPr="008343E1">
        <w:rPr>
          <w:rFonts w:ascii="Calibri" w:hAnsi="Calibri"/>
          <w:szCs w:val="24"/>
        </w:rPr>
        <w:t>.</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However, recent work suggests that such a conception of top-down inhibition by T-2 processes is overly-simplistic: (a) recent research suggests that T-2 systems are also liable to bias </w:t>
      </w:r>
      <w:r w:rsidR="001E5211" w:rsidRPr="008343E1">
        <w:rPr>
          <w:rFonts w:ascii="Calibri" w:hAnsi="Calibri"/>
          <w:szCs w:val="24"/>
        </w:rPr>
        <w:t>[</w:t>
      </w:r>
      <w:r w:rsidRPr="008343E1">
        <w:rPr>
          <w:rFonts w:ascii="Calibri" w:hAnsi="Calibri"/>
          <w:szCs w:val="24"/>
        </w:rPr>
        <w:t xml:space="preserve">Evans </w:t>
      </w:r>
      <w:r w:rsidR="001E5211" w:rsidRPr="008343E1">
        <w:rPr>
          <w:rFonts w:ascii="Calibri" w:hAnsi="Calibri"/>
          <w:szCs w:val="24"/>
        </w:rPr>
        <w:t>(</w:t>
      </w:r>
      <w:r w:rsidRPr="008343E1">
        <w:rPr>
          <w:rFonts w:ascii="Calibri" w:hAnsi="Calibri"/>
          <w:szCs w:val="24"/>
        </w:rPr>
        <w:t>2006</w:t>
      </w:r>
      <w:r w:rsidR="001E5211" w:rsidRPr="008343E1">
        <w:rPr>
          <w:rFonts w:ascii="Calibri" w:hAnsi="Calibri"/>
          <w:szCs w:val="24"/>
        </w:rPr>
        <w:t>)</w:t>
      </w:r>
      <w:r w:rsidRPr="008343E1">
        <w:rPr>
          <w:rFonts w:ascii="Calibri" w:hAnsi="Calibri"/>
          <w:szCs w:val="24"/>
        </w:rPr>
        <w:t xml:space="preserve">; Thompson &amp; Evans </w:t>
      </w:r>
      <w:r w:rsidR="001E5211" w:rsidRPr="008343E1">
        <w:rPr>
          <w:rFonts w:ascii="Calibri" w:hAnsi="Calibri"/>
          <w:szCs w:val="24"/>
        </w:rPr>
        <w:t>(</w:t>
      </w:r>
      <w:r w:rsidRPr="008343E1">
        <w:rPr>
          <w:rFonts w:ascii="Calibri" w:hAnsi="Calibri"/>
          <w:szCs w:val="24"/>
        </w:rPr>
        <w:t>2012)</w:t>
      </w:r>
      <w:r w:rsidR="001E5211" w:rsidRPr="008343E1">
        <w:rPr>
          <w:rFonts w:ascii="Calibri" w:hAnsi="Calibri"/>
          <w:szCs w:val="24"/>
        </w:rPr>
        <w:t>]</w:t>
      </w:r>
      <w:r w:rsidRPr="008343E1">
        <w:rPr>
          <w:rFonts w:ascii="Calibri" w:hAnsi="Calibri"/>
          <w:szCs w:val="24"/>
        </w:rPr>
        <w:t xml:space="preserve">; (b) T-2 processes appear to often be engaged to post-rationalise intuitive responses, rather than to exert cognitive control </w:t>
      </w:r>
      <w:r w:rsidR="000B67B7" w:rsidRPr="008343E1">
        <w:rPr>
          <w:rFonts w:ascii="Calibri" w:hAnsi="Calibri"/>
          <w:szCs w:val="24"/>
        </w:rPr>
        <w:t>[</w:t>
      </w:r>
      <w:r w:rsidRPr="008343E1">
        <w:rPr>
          <w:rFonts w:ascii="Calibri" w:hAnsi="Calibri"/>
          <w:szCs w:val="24"/>
        </w:rPr>
        <w:t xml:space="preserve">Evans &amp; Over </w:t>
      </w:r>
      <w:r w:rsidR="000B67B7" w:rsidRPr="008343E1">
        <w:rPr>
          <w:rFonts w:ascii="Calibri" w:hAnsi="Calibri"/>
          <w:szCs w:val="24"/>
        </w:rPr>
        <w:t>(</w:t>
      </w:r>
      <w:r w:rsidRPr="008343E1">
        <w:rPr>
          <w:rFonts w:ascii="Calibri" w:hAnsi="Calibri"/>
          <w:szCs w:val="24"/>
        </w:rPr>
        <w:t>1996)</w:t>
      </w:r>
      <w:r w:rsidR="000B67B7" w:rsidRPr="008343E1">
        <w:rPr>
          <w:rFonts w:ascii="Calibri" w:hAnsi="Calibri"/>
          <w:szCs w:val="24"/>
        </w:rPr>
        <w:t>]</w:t>
      </w:r>
      <w:r w:rsidRPr="008343E1">
        <w:rPr>
          <w:rFonts w:ascii="Calibri" w:hAnsi="Calibri"/>
          <w:szCs w:val="24"/>
        </w:rPr>
        <w:t xml:space="preserve">; (c) the intuitive phenomenology or ‘gut’ feeling as well as the belief bias appears to remain after logical reasoning is engaged </w:t>
      </w:r>
      <w:r w:rsidR="00DD6994" w:rsidRPr="008343E1">
        <w:rPr>
          <w:rFonts w:ascii="Calibri" w:hAnsi="Calibri"/>
          <w:szCs w:val="24"/>
        </w:rPr>
        <w:t>[</w:t>
      </w:r>
      <w:r w:rsidRPr="008343E1">
        <w:rPr>
          <w:rFonts w:ascii="Calibri" w:hAnsi="Calibri"/>
          <w:szCs w:val="24"/>
        </w:rPr>
        <w:t xml:space="preserve">Evans, Allen, Newstead &amp; Pollard </w:t>
      </w:r>
      <w:r w:rsidR="00DD6994" w:rsidRPr="008343E1">
        <w:rPr>
          <w:rFonts w:ascii="Calibri" w:hAnsi="Calibri"/>
          <w:szCs w:val="24"/>
        </w:rPr>
        <w:t>(</w:t>
      </w:r>
      <w:r w:rsidRPr="008343E1">
        <w:rPr>
          <w:rFonts w:ascii="Calibri" w:hAnsi="Calibri"/>
          <w:szCs w:val="24"/>
        </w:rPr>
        <w:t>1994)</w:t>
      </w:r>
      <w:r w:rsidR="00DD6994" w:rsidRPr="008343E1">
        <w:rPr>
          <w:rFonts w:ascii="Calibri" w:hAnsi="Calibri"/>
          <w:szCs w:val="24"/>
        </w:rPr>
        <w:t>]</w:t>
      </w:r>
      <w:r w:rsidRPr="008343E1">
        <w:rPr>
          <w:rFonts w:ascii="Calibri" w:hAnsi="Calibri"/>
          <w:szCs w:val="24"/>
        </w:rPr>
        <w:t>.</w:t>
      </w:r>
      <w:r w:rsidRPr="008343E1">
        <w:rPr>
          <w:rStyle w:val="EndnoteReference"/>
          <w:rFonts w:ascii="Calibri" w:hAnsi="Calibri"/>
          <w:szCs w:val="24"/>
        </w:rPr>
        <w:endnoteReference w:id="5"/>
      </w:r>
    </w:p>
    <w:p w:rsidR="000708F8" w:rsidRPr="008343E1" w:rsidRDefault="000708F8" w:rsidP="00C735CD">
      <w:pPr>
        <w:spacing w:after="200" w:line="276" w:lineRule="auto"/>
        <w:rPr>
          <w:rFonts w:ascii="Calibri" w:hAnsi="Calibri"/>
          <w:szCs w:val="24"/>
        </w:rPr>
      </w:pPr>
      <w:r w:rsidRPr="008343E1">
        <w:rPr>
          <w:rFonts w:ascii="Calibri" w:hAnsi="Calibri"/>
          <w:szCs w:val="24"/>
        </w:rPr>
        <w:t>Resultantly, we identify (at least) four significant issues in the extant literature:</w:t>
      </w:r>
    </w:p>
    <w:p w:rsidR="000708F8" w:rsidRPr="008343E1" w:rsidRDefault="000708F8" w:rsidP="00C735CD">
      <w:pPr>
        <w:numPr>
          <w:ilvl w:val="0"/>
          <w:numId w:val="20"/>
        </w:numPr>
        <w:spacing w:after="200" w:line="276" w:lineRule="auto"/>
        <w:ind w:left="0" w:firstLine="0"/>
        <w:rPr>
          <w:rFonts w:ascii="Calibri" w:hAnsi="Calibri"/>
          <w:szCs w:val="24"/>
          <w:lang w:val="en-US"/>
        </w:rPr>
      </w:pPr>
      <w:r w:rsidRPr="008343E1">
        <w:rPr>
          <w:rFonts w:ascii="Calibri" w:hAnsi="Calibri"/>
          <w:szCs w:val="24"/>
          <w:lang w:val="en-US"/>
        </w:rPr>
        <w:t xml:space="preserve">Dual process approaches suggest a traditionally rationalistic approach to theory of mind in which biased intuitions are ‘controlled’ by serialized, normative processes. This suggests that we have a standard normative theory (usually classical logic / probability theory) – but this is rather simplistic given the numerous logical systems on the market e.g. Paraconsistent logics, relevant logics, non-monotonic logic and so on. </w:t>
      </w:r>
      <w:r w:rsidR="007A63E4" w:rsidRPr="008343E1">
        <w:rPr>
          <w:rFonts w:ascii="Calibri" w:hAnsi="Calibri"/>
          <w:szCs w:val="24"/>
          <w:lang w:val="en-US"/>
        </w:rPr>
        <w:t>[</w:t>
      </w:r>
      <w:r w:rsidRPr="008343E1">
        <w:rPr>
          <w:rFonts w:ascii="Calibri" w:hAnsi="Calibri"/>
          <w:szCs w:val="24"/>
          <w:lang w:val="en-US"/>
        </w:rPr>
        <w:t>Stanovich (2004)</w:t>
      </w:r>
      <w:r w:rsidR="007A63E4" w:rsidRPr="008343E1">
        <w:rPr>
          <w:rFonts w:ascii="Calibri" w:hAnsi="Calibri"/>
          <w:szCs w:val="24"/>
          <w:lang w:val="en-US"/>
        </w:rPr>
        <w:t>]</w:t>
      </w:r>
      <w:r w:rsidRPr="008343E1">
        <w:rPr>
          <w:rFonts w:ascii="Calibri" w:hAnsi="Calibri"/>
          <w:szCs w:val="24"/>
          <w:lang w:val="en-US"/>
        </w:rPr>
        <w:t xml:space="preserve"> and </w:t>
      </w:r>
      <w:r w:rsidR="007A63E4" w:rsidRPr="008343E1">
        <w:rPr>
          <w:rFonts w:ascii="Calibri" w:hAnsi="Calibri"/>
          <w:szCs w:val="24"/>
          <w:lang w:val="en-US"/>
        </w:rPr>
        <w:t>[</w:t>
      </w:r>
      <w:r w:rsidRPr="008343E1">
        <w:rPr>
          <w:rFonts w:ascii="Calibri" w:hAnsi="Calibri"/>
          <w:szCs w:val="24"/>
        </w:rPr>
        <w:t>Oaksford et al. (1996)</w:t>
      </w:r>
      <w:r w:rsidR="007A63E4" w:rsidRPr="008343E1">
        <w:rPr>
          <w:rFonts w:ascii="Calibri" w:hAnsi="Calibri"/>
          <w:szCs w:val="24"/>
        </w:rPr>
        <w:t>]</w:t>
      </w:r>
      <w:r w:rsidRPr="008343E1">
        <w:rPr>
          <w:rFonts w:ascii="Calibri" w:hAnsi="Calibri"/>
          <w:szCs w:val="24"/>
          <w:lang w:val="en-US"/>
        </w:rPr>
        <w:t xml:space="preserve"> recognize these issues, but they are largely undeveloped.</w:t>
      </w:r>
      <w:r w:rsidRPr="008343E1">
        <w:rPr>
          <w:rStyle w:val="EndnoteReference"/>
          <w:rFonts w:ascii="Calibri" w:hAnsi="Calibri"/>
          <w:szCs w:val="24"/>
          <w:lang w:val="en-US"/>
        </w:rPr>
        <w:endnoteReference w:id="6"/>
      </w:r>
      <w:r w:rsidRPr="008343E1">
        <w:rPr>
          <w:rFonts w:ascii="Calibri" w:hAnsi="Calibri"/>
          <w:szCs w:val="24"/>
          <w:lang w:val="en-US"/>
        </w:rPr>
        <w:t xml:space="preserve"> Moreover, the measurement of ‘deviance’ from rationality in the construction of experiments is typically measured against a classical normative theory.</w:t>
      </w:r>
    </w:p>
    <w:p w:rsidR="000708F8" w:rsidRPr="008343E1" w:rsidRDefault="000708F8" w:rsidP="00C735CD">
      <w:pPr>
        <w:numPr>
          <w:ilvl w:val="0"/>
          <w:numId w:val="20"/>
        </w:numPr>
        <w:spacing w:after="200" w:line="276" w:lineRule="auto"/>
        <w:ind w:left="0" w:firstLine="0"/>
        <w:rPr>
          <w:rFonts w:ascii="Calibri" w:hAnsi="Calibri"/>
          <w:szCs w:val="24"/>
          <w:lang w:val="en-US"/>
        </w:rPr>
      </w:pPr>
      <w:r w:rsidRPr="008343E1">
        <w:rPr>
          <w:rFonts w:ascii="Calibri" w:hAnsi="Calibri"/>
          <w:szCs w:val="24"/>
          <w:lang w:val="en-US"/>
        </w:rPr>
        <w:t xml:space="preserve">The relationship between processes of reasoning seems vastly more multifarious and mutually supportive than the dual systems approach allows. For example, it looks like systematic reasoning processes may also distort and bias heuristic reasoning processes. Moreover, there is evidence that T-2 processes may be engaged to post-rationalise T-1 processes in relation to introspective reports on behaviour. As it stands, we have no device for determining which expressed beliefs would represent an override by engaged reasoning, and which are mere rationalizations of T-1 processes </w:t>
      </w:r>
      <w:r w:rsidR="007E3948" w:rsidRPr="008343E1">
        <w:rPr>
          <w:rFonts w:ascii="Calibri" w:hAnsi="Calibri"/>
          <w:szCs w:val="24"/>
        </w:rPr>
        <w:t>[</w:t>
      </w:r>
      <w:r w:rsidRPr="008343E1">
        <w:rPr>
          <w:rFonts w:ascii="Calibri" w:hAnsi="Calibri"/>
          <w:szCs w:val="24"/>
        </w:rPr>
        <w:t xml:space="preserve">Evans &amp; Over </w:t>
      </w:r>
      <w:r w:rsidR="007E3948" w:rsidRPr="008343E1">
        <w:rPr>
          <w:rFonts w:ascii="Calibri" w:hAnsi="Calibri"/>
          <w:szCs w:val="24"/>
        </w:rPr>
        <w:t>(</w:t>
      </w:r>
      <w:r w:rsidRPr="008343E1">
        <w:rPr>
          <w:rFonts w:ascii="Calibri" w:hAnsi="Calibri"/>
          <w:szCs w:val="24"/>
        </w:rPr>
        <w:t>1996)</w:t>
      </w:r>
      <w:r w:rsidR="007E3948" w:rsidRPr="008343E1">
        <w:rPr>
          <w:rFonts w:ascii="Calibri" w:hAnsi="Calibri"/>
          <w:szCs w:val="24"/>
        </w:rPr>
        <w:t>]</w:t>
      </w:r>
      <w:r w:rsidRPr="008343E1">
        <w:rPr>
          <w:rFonts w:ascii="Calibri" w:hAnsi="Calibri"/>
          <w:szCs w:val="24"/>
        </w:rPr>
        <w:t>.</w:t>
      </w:r>
    </w:p>
    <w:p w:rsidR="000708F8" w:rsidRPr="008343E1" w:rsidRDefault="000708F8" w:rsidP="00C735CD">
      <w:pPr>
        <w:numPr>
          <w:ilvl w:val="0"/>
          <w:numId w:val="20"/>
        </w:numPr>
        <w:spacing w:after="200" w:line="276" w:lineRule="auto"/>
        <w:ind w:left="0" w:firstLine="0"/>
        <w:rPr>
          <w:rFonts w:ascii="Calibri" w:hAnsi="Calibri"/>
          <w:szCs w:val="24"/>
          <w:lang w:val="en-US"/>
        </w:rPr>
      </w:pPr>
      <w:r w:rsidRPr="008343E1">
        <w:rPr>
          <w:rFonts w:ascii="Calibri" w:hAnsi="Calibri"/>
          <w:szCs w:val="24"/>
          <w:lang w:val="en-US"/>
        </w:rPr>
        <w:t xml:space="preserve">The intuitive pull of heuristic reasoning processes that appears to exist long after reflection is not really dealt with by DPTs (i.e. they don’t get the phenomenology right). Further work on the interrelated nature of reasoning processes is thus required – there is a problem of control here i.e. conscious reasoning does not seem to be able to exert the kind of control suggested by the DP approach (e.g. </w:t>
      </w:r>
      <w:r w:rsidR="00D758A8" w:rsidRPr="008343E1">
        <w:rPr>
          <w:rFonts w:ascii="Calibri" w:hAnsi="Calibri"/>
          <w:szCs w:val="24"/>
          <w:lang w:val="en-US"/>
        </w:rPr>
        <w:t>[</w:t>
      </w:r>
      <w:r w:rsidRPr="008343E1">
        <w:rPr>
          <w:rFonts w:ascii="Calibri" w:hAnsi="Calibri"/>
          <w:szCs w:val="24"/>
          <w:lang w:val="en-US"/>
        </w:rPr>
        <w:t xml:space="preserve">Kahneman &amp; Frederick </w:t>
      </w:r>
      <w:r w:rsidR="00D758A8" w:rsidRPr="008343E1">
        <w:rPr>
          <w:rFonts w:ascii="Calibri" w:hAnsi="Calibri"/>
          <w:szCs w:val="24"/>
          <w:lang w:val="en-US"/>
        </w:rPr>
        <w:t>(</w:t>
      </w:r>
      <w:r w:rsidRPr="008343E1">
        <w:rPr>
          <w:rFonts w:ascii="Calibri" w:hAnsi="Calibri"/>
          <w:szCs w:val="24"/>
          <w:lang w:val="en-US"/>
        </w:rPr>
        <w:t>2002</w:t>
      </w:r>
      <w:r w:rsidR="00D758A8" w:rsidRPr="008343E1">
        <w:rPr>
          <w:rFonts w:ascii="Calibri" w:hAnsi="Calibri"/>
          <w:szCs w:val="24"/>
          <w:lang w:val="en-US"/>
        </w:rPr>
        <w:t>)]</w:t>
      </w:r>
      <w:r w:rsidRPr="008343E1">
        <w:rPr>
          <w:rFonts w:ascii="Calibri" w:hAnsi="Calibri"/>
          <w:szCs w:val="24"/>
          <w:lang w:val="en-US"/>
        </w:rPr>
        <w:t xml:space="preserve"> for this suggestion; </w:t>
      </w:r>
      <w:r w:rsidR="00D758A8" w:rsidRPr="008343E1">
        <w:rPr>
          <w:rFonts w:ascii="Calibri" w:hAnsi="Calibri"/>
          <w:szCs w:val="24"/>
          <w:lang w:val="en-US"/>
        </w:rPr>
        <w:t>[</w:t>
      </w:r>
      <w:r w:rsidRPr="008343E1">
        <w:rPr>
          <w:rFonts w:ascii="Calibri" w:hAnsi="Calibri"/>
          <w:szCs w:val="24"/>
          <w:lang w:val="en-US"/>
        </w:rPr>
        <w:t xml:space="preserve">Evans et al. </w:t>
      </w:r>
      <w:r w:rsidR="00D758A8" w:rsidRPr="008343E1">
        <w:rPr>
          <w:rFonts w:ascii="Calibri" w:hAnsi="Calibri"/>
          <w:szCs w:val="24"/>
          <w:lang w:val="en-US"/>
        </w:rPr>
        <w:t>(</w:t>
      </w:r>
      <w:r w:rsidRPr="008343E1">
        <w:rPr>
          <w:rFonts w:ascii="Calibri" w:hAnsi="Calibri"/>
          <w:szCs w:val="24"/>
          <w:lang w:val="en-US"/>
        </w:rPr>
        <w:t>1994</w:t>
      </w:r>
      <w:r w:rsidR="00D758A8" w:rsidRPr="008343E1">
        <w:rPr>
          <w:rFonts w:ascii="Calibri" w:hAnsi="Calibri"/>
          <w:szCs w:val="24"/>
          <w:lang w:val="en-US"/>
        </w:rPr>
        <w:t>)]</w:t>
      </w:r>
      <w:r w:rsidRPr="008343E1">
        <w:rPr>
          <w:rFonts w:ascii="Calibri" w:hAnsi="Calibri"/>
          <w:szCs w:val="24"/>
          <w:lang w:val="en-US"/>
        </w:rPr>
        <w:t xml:space="preserve"> for the suggestion that reasoning does</w:t>
      </w:r>
      <w:r w:rsidR="00EC5742" w:rsidRPr="008343E1">
        <w:rPr>
          <w:rFonts w:ascii="Calibri" w:hAnsi="Calibri"/>
          <w:szCs w:val="24"/>
          <w:lang w:val="en-US"/>
        </w:rPr>
        <w:t xml:space="preserve"> </w:t>
      </w:r>
      <w:r w:rsidRPr="008343E1">
        <w:rPr>
          <w:rFonts w:ascii="Calibri" w:hAnsi="Calibri"/>
          <w:szCs w:val="24"/>
          <w:lang w:val="en-US"/>
        </w:rPr>
        <w:t>n</w:t>
      </w:r>
      <w:r w:rsidR="00EC5742" w:rsidRPr="008343E1">
        <w:rPr>
          <w:rFonts w:ascii="Calibri" w:hAnsi="Calibri"/>
          <w:szCs w:val="24"/>
          <w:lang w:val="en-US"/>
        </w:rPr>
        <w:t>o</w:t>
      </w:r>
      <w:r w:rsidRPr="008343E1">
        <w:rPr>
          <w:rFonts w:ascii="Calibri" w:hAnsi="Calibri"/>
          <w:szCs w:val="24"/>
          <w:lang w:val="en-US"/>
        </w:rPr>
        <w:t>t remove belief biases).</w:t>
      </w:r>
    </w:p>
    <w:p w:rsidR="000708F8" w:rsidRPr="008343E1" w:rsidRDefault="000708F8" w:rsidP="00C735CD">
      <w:pPr>
        <w:numPr>
          <w:ilvl w:val="0"/>
          <w:numId w:val="20"/>
        </w:numPr>
        <w:spacing w:after="200" w:line="276" w:lineRule="auto"/>
        <w:ind w:left="0" w:firstLine="0"/>
        <w:rPr>
          <w:rFonts w:ascii="Calibri" w:hAnsi="Calibri"/>
          <w:szCs w:val="24"/>
          <w:lang w:val="en-US"/>
        </w:rPr>
      </w:pPr>
      <w:r w:rsidRPr="008343E1">
        <w:rPr>
          <w:rFonts w:ascii="Calibri" w:hAnsi="Calibri"/>
          <w:szCs w:val="24"/>
          <w:lang w:val="en-US"/>
        </w:rPr>
        <w:t>The dual-systems account may be overly internalistic, and thus not give the external scaffolding of systematic reasoning processes its due. In this respect, the role of learning; formalisation</w:t>
      </w:r>
      <w:proofErr w:type="gramStart"/>
      <w:r w:rsidRPr="008343E1">
        <w:rPr>
          <w:rFonts w:ascii="Calibri" w:hAnsi="Calibri"/>
          <w:szCs w:val="24"/>
          <w:lang w:val="en-US"/>
        </w:rPr>
        <w:t>;</w:t>
      </w:r>
      <w:proofErr w:type="gramEnd"/>
      <w:r w:rsidRPr="008343E1">
        <w:rPr>
          <w:rFonts w:ascii="Calibri" w:hAnsi="Calibri"/>
          <w:szCs w:val="24"/>
          <w:lang w:val="en-US"/>
        </w:rPr>
        <w:t xml:space="preserve"> technologies (e.g. writing, math etc.) are not adequately understood within the framework (and this is relevant to Issue 1).</w:t>
      </w:r>
      <w:r w:rsidRPr="008343E1">
        <w:rPr>
          <w:rStyle w:val="EndnoteReference"/>
          <w:rFonts w:ascii="Calibri" w:hAnsi="Calibri"/>
          <w:szCs w:val="24"/>
          <w:lang w:val="en-US"/>
        </w:rPr>
        <w:endnoteReference w:id="7"/>
      </w:r>
      <w:r w:rsidRPr="008343E1">
        <w:rPr>
          <w:rFonts w:ascii="Calibri" w:hAnsi="Calibri"/>
          <w:szCs w:val="24"/>
          <w:lang w:val="en-US"/>
        </w:rPr>
        <w:t xml:space="preserve"> There are also reasoning processes that appear to begin under conscious, slow, control, but later become automated, such as learning logic &amp; mathematics (e.g. </w:t>
      </w:r>
      <w:r w:rsidR="009D0C58" w:rsidRPr="008343E1">
        <w:rPr>
          <w:rFonts w:ascii="Calibri" w:hAnsi="Calibri"/>
          <w:szCs w:val="24"/>
          <w:lang w:val="en-US"/>
        </w:rPr>
        <w:t>[</w:t>
      </w:r>
      <w:r w:rsidRPr="008343E1">
        <w:rPr>
          <w:rFonts w:ascii="Calibri" w:hAnsi="Calibri"/>
          <w:szCs w:val="24"/>
          <w:lang w:val="en-US"/>
        </w:rPr>
        <w:t xml:space="preserve">Monsell &amp; Driver </w:t>
      </w:r>
      <w:r w:rsidR="009D0C58" w:rsidRPr="008343E1">
        <w:rPr>
          <w:rFonts w:ascii="Calibri" w:hAnsi="Calibri"/>
          <w:szCs w:val="24"/>
          <w:lang w:val="en-US"/>
        </w:rPr>
        <w:t>(</w:t>
      </w:r>
      <w:r w:rsidRPr="008343E1">
        <w:rPr>
          <w:rFonts w:ascii="Calibri" w:hAnsi="Calibri"/>
          <w:szCs w:val="24"/>
          <w:lang w:val="en-US"/>
        </w:rPr>
        <w:t>2000</w:t>
      </w:r>
      <w:r w:rsidR="009D0C58" w:rsidRPr="008343E1">
        <w:rPr>
          <w:rFonts w:ascii="Calibri" w:hAnsi="Calibri"/>
          <w:szCs w:val="24"/>
          <w:lang w:val="en-US"/>
        </w:rPr>
        <w:t xml:space="preserve">)] </w:t>
      </w:r>
      <w:r w:rsidRPr="008343E1">
        <w:rPr>
          <w:rFonts w:ascii="Calibri" w:hAnsi="Calibri"/>
          <w:szCs w:val="24"/>
          <w:lang w:val="en-US"/>
        </w:rPr>
        <w:t>in relation to attention and motor control). This suggests that the distinction between non-biased processes as consciously controlled, as opposed to biased processes as unconscious and automatic, may be too simplistic.</w:t>
      </w:r>
    </w:p>
    <w:p w:rsidR="000708F8" w:rsidRPr="008343E1" w:rsidRDefault="000708F8" w:rsidP="00C735CD">
      <w:pPr>
        <w:spacing w:after="200" w:line="276" w:lineRule="auto"/>
        <w:rPr>
          <w:rFonts w:ascii="Calibri" w:hAnsi="Calibri" w:cs="Calibri"/>
          <w:szCs w:val="24"/>
          <w:lang w:val="en-US"/>
        </w:rPr>
      </w:pPr>
      <w:r w:rsidRPr="008343E1">
        <w:rPr>
          <w:rFonts w:ascii="Calibri" w:hAnsi="Calibri" w:cs="Calibri"/>
          <w:szCs w:val="24"/>
          <w:lang w:val="en-US"/>
        </w:rPr>
        <w:t xml:space="preserve">In sum, these issues suggest that it is worthwhile revisiting the explanation of biases in terms of dual-processes by investigating the structure of intuition, and so, more properly understanding its relation with reasoning. </w:t>
      </w:r>
    </w:p>
    <w:p w:rsidR="000708F8" w:rsidRPr="008343E1" w:rsidRDefault="000708F8" w:rsidP="00C735CD">
      <w:pPr>
        <w:spacing w:after="200" w:line="276" w:lineRule="auto"/>
        <w:rPr>
          <w:rFonts w:ascii="Calibri" w:hAnsi="Calibri" w:cs="Calibri"/>
          <w:b/>
          <w:szCs w:val="24"/>
        </w:rPr>
      </w:pPr>
    </w:p>
    <w:p w:rsidR="000708F8" w:rsidRPr="008343E1" w:rsidRDefault="000708F8" w:rsidP="00C735CD">
      <w:pPr>
        <w:widowControl w:val="0"/>
        <w:autoSpaceDE w:val="0"/>
        <w:autoSpaceDN w:val="0"/>
        <w:adjustRightInd w:val="0"/>
        <w:spacing w:after="200" w:line="276" w:lineRule="auto"/>
        <w:rPr>
          <w:rFonts w:ascii="Calibri" w:hAnsi="Calibri"/>
          <w:b/>
          <w:szCs w:val="24"/>
        </w:rPr>
      </w:pPr>
      <w:r w:rsidRPr="008343E1">
        <w:rPr>
          <w:rFonts w:ascii="Calibri" w:hAnsi="Calibri"/>
          <w:b/>
          <w:szCs w:val="24"/>
        </w:rPr>
        <w:t>1.3 DPTs &amp; Empirical Evidence</w:t>
      </w:r>
    </w:p>
    <w:p w:rsidR="000708F8" w:rsidRPr="008343E1" w:rsidRDefault="000708F8" w:rsidP="00C735CD">
      <w:pPr>
        <w:widowControl w:val="0"/>
        <w:autoSpaceDE w:val="0"/>
        <w:autoSpaceDN w:val="0"/>
        <w:adjustRightInd w:val="0"/>
        <w:spacing w:after="200" w:line="276" w:lineRule="auto"/>
        <w:rPr>
          <w:rFonts w:ascii="Calibri" w:hAnsi="Calibri"/>
          <w:szCs w:val="24"/>
        </w:rPr>
      </w:pPr>
      <w:r w:rsidRPr="008343E1">
        <w:rPr>
          <w:rFonts w:ascii="Calibri" w:hAnsi="Calibri"/>
          <w:szCs w:val="24"/>
        </w:rPr>
        <w:t xml:space="preserve">In this section we focus on specific concerns regarding DTPs, primarily following Osman’s </w:t>
      </w:r>
      <w:r w:rsidR="00B77B64">
        <w:rPr>
          <w:rFonts w:ascii="Calibri" w:hAnsi="Calibri"/>
          <w:szCs w:val="24"/>
        </w:rPr>
        <w:t>[</w:t>
      </w:r>
      <w:r w:rsidRPr="008343E1">
        <w:rPr>
          <w:rFonts w:ascii="Calibri" w:hAnsi="Calibri"/>
          <w:szCs w:val="24"/>
        </w:rPr>
        <w:t>(2004</w:t>
      </w:r>
      <w:r w:rsidR="00F22A9E" w:rsidRPr="008343E1">
        <w:rPr>
          <w:rFonts w:ascii="Calibri" w:hAnsi="Calibri"/>
          <w:szCs w:val="24"/>
        </w:rPr>
        <w:t>), p.</w:t>
      </w:r>
      <w:r w:rsidRPr="008343E1">
        <w:rPr>
          <w:rFonts w:ascii="Calibri" w:hAnsi="Calibri"/>
          <w:szCs w:val="24"/>
        </w:rPr>
        <w:t xml:space="preserve"> 1006</w:t>
      </w:r>
      <w:r w:rsidR="00F22A9E" w:rsidRPr="008343E1">
        <w:rPr>
          <w:rFonts w:ascii="Calibri" w:hAnsi="Calibri"/>
          <w:szCs w:val="24"/>
        </w:rPr>
        <w:t>]</w:t>
      </w:r>
      <w:r w:rsidRPr="008343E1">
        <w:rPr>
          <w:rFonts w:ascii="Calibri" w:hAnsi="Calibri"/>
          <w:szCs w:val="24"/>
        </w:rPr>
        <w:t xml:space="preserve"> argument that the evidence often deployed in favour of the distinction between T-1 &amp; T-2 is actually suggestive of single-system accounts. </w:t>
      </w:r>
      <w:r w:rsidRPr="008343E1">
        <w:rPr>
          <w:rFonts w:ascii="Calibri" w:hAnsi="Calibri"/>
          <w:bCs/>
          <w:szCs w:val="24"/>
          <w:lang w:eastAsia="en-US"/>
        </w:rPr>
        <w:t xml:space="preserve">More recently, </w:t>
      </w:r>
      <w:r w:rsidRPr="008343E1">
        <w:rPr>
          <w:rFonts w:ascii="Calibri" w:hAnsi="Calibri"/>
          <w:szCs w:val="24"/>
          <w:lang w:eastAsia="en-US"/>
        </w:rPr>
        <w:t xml:space="preserve">Osman </w:t>
      </w:r>
      <w:r w:rsidR="000948A3">
        <w:rPr>
          <w:rFonts w:ascii="Calibri" w:hAnsi="Calibri"/>
          <w:szCs w:val="24"/>
          <w:lang w:eastAsia="en-US"/>
        </w:rPr>
        <w:t>[</w:t>
      </w:r>
      <w:r w:rsidRPr="008343E1">
        <w:rPr>
          <w:rFonts w:ascii="Calibri" w:hAnsi="Calibri"/>
          <w:szCs w:val="24"/>
          <w:lang w:eastAsia="en-US"/>
        </w:rPr>
        <w:t>(2013)</w:t>
      </w:r>
      <w:r w:rsidR="00F22A9E" w:rsidRPr="008343E1">
        <w:rPr>
          <w:rFonts w:ascii="Calibri" w:hAnsi="Calibri"/>
          <w:szCs w:val="24"/>
          <w:lang w:eastAsia="en-US"/>
        </w:rPr>
        <w:t>]</w:t>
      </w:r>
      <w:r w:rsidRPr="008343E1">
        <w:rPr>
          <w:rFonts w:ascii="Calibri" w:hAnsi="Calibri"/>
          <w:szCs w:val="24"/>
          <w:lang w:eastAsia="en-US"/>
        </w:rPr>
        <w:t xml:space="preserve"> has argued that the evidence to which DPTs often appeal simply support quantitatively – and not qualitatively – different processes. Furthermore, she argues that hypothetical thinking in causal reasoning is not necessarily an instance of T-2 processing, and that the definitions of automaticity that DPTs suggest require further refinement, in the interest of avoiding ambiguity. </w:t>
      </w:r>
      <w:r w:rsidRPr="008343E1">
        <w:rPr>
          <w:rFonts w:ascii="Calibri" w:hAnsi="Calibri"/>
          <w:szCs w:val="24"/>
        </w:rPr>
        <w:t xml:space="preserve">Here, we discuss recent empirical evidence in the literature against DPTs, with an eye to fleshing out a philosophical account of a unitary system. In this sense, our suggestions build upon arguments raised by </w:t>
      </w:r>
      <w:r w:rsidR="00DE0A39" w:rsidRPr="008343E1">
        <w:rPr>
          <w:rFonts w:ascii="Calibri" w:hAnsi="Calibri"/>
          <w:szCs w:val="24"/>
        </w:rPr>
        <w:t>[</w:t>
      </w:r>
      <w:r w:rsidRPr="008343E1">
        <w:rPr>
          <w:rFonts w:ascii="Calibri" w:hAnsi="Calibri"/>
          <w:szCs w:val="24"/>
        </w:rPr>
        <w:t>Osman (2013)</w:t>
      </w:r>
      <w:r w:rsidR="00DE0A39" w:rsidRPr="008343E1">
        <w:rPr>
          <w:rFonts w:ascii="Calibri" w:hAnsi="Calibri"/>
          <w:szCs w:val="24"/>
        </w:rPr>
        <w:t>]</w:t>
      </w:r>
      <w:r w:rsidRPr="008343E1">
        <w:rPr>
          <w:rFonts w:ascii="Calibri" w:hAnsi="Calibri"/>
          <w:szCs w:val="24"/>
        </w:rPr>
        <w:t xml:space="preserve"> and </w:t>
      </w:r>
      <w:r w:rsidR="00DE0A39" w:rsidRPr="008343E1">
        <w:rPr>
          <w:rFonts w:ascii="Calibri" w:hAnsi="Calibri"/>
          <w:szCs w:val="24"/>
        </w:rPr>
        <w:t>[</w:t>
      </w:r>
      <w:r w:rsidRPr="008343E1">
        <w:rPr>
          <w:rFonts w:ascii="Calibri" w:hAnsi="Calibri"/>
          <w:szCs w:val="24"/>
        </w:rPr>
        <w:t>De Neys (2006b)</w:t>
      </w:r>
      <w:r w:rsidR="00DE0A39" w:rsidRPr="008343E1">
        <w:rPr>
          <w:rFonts w:ascii="Calibri" w:hAnsi="Calibri"/>
          <w:szCs w:val="24"/>
        </w:rPr>
        <w:t>]</w:t>
      </w:r>
      <w:r w:rsidRPr="008343E1">
        <w:rPr>
          <w:rFonts w:ascii="Calibri" w:hAnsi="Calibri"/>
          <w:szCs w:val="24"/>
        </w:rPr>
        <w:t xml:space="preserve">, in order to systematize them in a philosophical account of a unitary cognitive system. </w:t>
      </w:r>
    </w:p>
    <w:p w:rsidR="000708F8" w:rsidRPr="008343E1" w:rsidRDefault="000708F8" w:rsidP="00C735CD">
      <w:pPr>
        <w:widowControl w:val="0"/>
        <w:autoSpaceDE w:val="0"/>
        <w:autoSpaceDN w:val="0"/>
        <w:adjustRightInd w:val="0"/>
        <w:spacing w:after="200" w:line="276" w:lineRule="auto"/>
        <w:rPr>
          <w:rFonts w:ascii="Calibri" w:hAnsi="Calibri"/>
          <w:szCs w:val="24"/>
          <w:u w:val="single"/>
          <w:lang w:eastAsia="en-US"/>
        </w:rPr>
      </w:pPr>
    </w:p>
    <w:p w:rsidR="000708F8" w:rsidRPr="008343E1" w:rsidRDefault="000708F8" w:rsidP="00C735CD">
      <w:pPr>
        <w:widowControl w:val="0"/>
        <w:autoSpaceDE w:val="0"/>
        <w:autoSpaceDN w:val="0"/>
        <w:adjustRightInd w:val="0"/>
        <w:spacing w:after="200" w:line="276" w:lineRule="auto"/>
        <w:rPr>
          <w:rFonts w:ascii="Calibri" w:hAnsi="Calibri"/>
          <w:i/>
          <w:szCs w:val="24"/>
          <w:lang w:eastAsia="en-US"/>
        </w:rPr>
      </w:pPr>
      <w:r w:rsidRPr="008343E1">
        <w:rPr>
          <w:rFonts w:ascii="Calibri" w:hAnsi="Calibri"/>
          <w:i/>
          <w:szCs w:val="24"/>
          <w:lang w:eastAsia="en-US"/>
        </w:rPr>
        <w:t xml:space="preserve">Accuracy &amp; WM Loadings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De Neys </w:t>
      </w:r>
      <w:r w:rsidR="004E4008" w:rsidRPr="008343E1">
        <w:rPr>
          <w:rFonts w:ascii="Calibri" w:hAnsi="Calibri"/>
          <w:szCs w:val="24"/>
          <w:lang w:eastAsia="en-US"/>
        </w:rPr>
        <w:t>[</w:t>
      </w:r>
      <w:r w:rsidRPr="008343E1">
        <w:rPr>
          <w:rFonts w:ascii="Calibri" w:hAnsi="Calibri"/>
          <w:szCs w:val="24"/>
          <w:lang w:eastAsia="en-US"/>
        </w:rPr>
        <w:t>(2006b)</w:t>
      </w:r>
      <w:r w:rsidR="004E4008" w:rsidRPr="008343E1">
        <w:rPr>
          <w:rFonts w:ascii="Calibri" w:hAnsi="Calibri"/>
          <w:szCs w:val="24"/>
          <w:lang w:eastAsia="en-US"/>
        </w:rPr>
        <w:t>]</w:t>
      </w:r>
      <w:r w:rsidRPr="008343E1">
        <w:rPr>
          <w:rFonts w:ascii="Calibri" w:hAnsi="Calibri"/>
          <w:szCs w:val="24"/>
          <w:lang w:eastAsia="en-US"/>
        </w:rPr>
        <w:t xml:space="preserve"> focuses on some of the necessary defining characteristics of T-1 processing such as automaticity and immunity to WM loadings, as well as accuracy of performance in tasks that are allegedly executed in virtue of T-1 processing. More specifically, participants in this study were classified in three groups (low, medium and high) with regard to their Working Memory Capacity (WMC). In assessing WMC, participants were asked to accurately recall unrelated words while performing mathematical operations. (Given that both of those tasks load WM, the higher the WMC of a subject, the more words she would recall). Participants were then asked to evaluate a series of syllogisms. The believability of the conclusion of each syllogism was either incongruent with the logical conclusion (conflict syllogism) or congruent with it (no-conflict syllogism). While participants were evaluating the syllogisms, their WM was manipulated by using a dot memory test (high-, low-, no-loading). In particular, after evaluating a syllogism, subjects were asked to replicate a dot-array in a 3</w:t>
      </w:r>
      <w:r w:rsidRPr="008343E1">
        <w:rPr>
          <w:rFonts w:ascii="Calibri" w:hAnsi="Calibri"/>
          <w:smallCaps/>
          <w:szCs w:val="24"/>
          <w:lang w:eastAsia="en-US"/>
        </w:rPr>
        <w:t>X</w:t>
      </w:r>
      <w:r w:rsidRPr="008343E1">
        <w:rPr>
          <w:rFonts w:ascii="Calibri" w:hAnsi="Calibri"/>
          <w:szCs w:val="24"/>
          <w:lang w:eastAsia="en-US"/>
        </w:rPr>
        <w:t xml:space="preserve">3 grid that they saw prior the syllogism. </w:t>
      </w:r>
    </w:p>
    <w:p w:rsidR="000708F8" w:rsidRPr="008343E1" w:rsidRDefault="000708F8" w:rsidP="00C735CD">
      <w:pPr>
        <w:widowControl w:val="0"/>
        <w:autoSpaceDE w:val="0"/>
        <w:autoSpaceDN w:val="0"/>
        <w:adjustRightInd w:val="0"/>
        <w:spacing w:after="200" w:line="276" w:lineRule="auto"/>
        <w:rPr>
          <w:rFonts w:ascii="Calibri" w:hAnsi="Calibri"/>
          <w:b/>
          <w:i/>
          <w:szCs w:val="24"/>
          <w:u w:val="single"/>
        </w:rPr>
      </w:pPr>
    </w:p>
    <w:p w:rsidR="000708F8" w:rsidRPr="008343E1" w:rsidRDefault="000708F8" w:rsidP="00C735CD">
      <w:pPr>
        <w:widowControl w:val="0"/>
        <w:autoSpaceDE w:val="0"/>
        <w:autoSpaceDN w:val="0"/>
        <w:adjustRightInd w:val="0"/>
        <w:spacing w:after="200" w:line="276" w:lineRule="auto"/>
        <w:rPr>
          <w:rFonts w:ascii="Calibri" w:hAnsi="Calibri"/>
          <w:i/>
          <w:szCs w:val="24"/>
        </w:rPr>
      </w:pPr>
      <w:proofErr w:type="gramStart"/>
      <w:r w:rsidRPr="008343E1">
        <w:rPr>
          <w:rFonts w:ascii="Calibri" w:hAnsi="Calibri"/>
          <w:i/>
          <w:szCs w:val="24"/>
        </w:rPr>
        <w:t>Qualitative or Quantitative differences between T-1 &amp; T-2 processes?</w:t>
      </w:r>
      <w:proofErr w:type="gramEnd"/>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Given the aforementioned working definitions for T-1 and T-2 processes, an intuitive prediction of DPTs would be that no-conflict syllogisms are processed in terms of T-1 processing. The underlying hypothesis here is that syllogisms with cohering premises and conclusion are easily integrated and evaluated, and subjects exhibit a tendency to accept the syllogism as valid (belief bias effect; </w:t>
      </w:r>
      <w:r w:rsidR="00C30B5F" w:rsidRPr="008343E1">
        <w:rPr>
          <w:rFonts w:ascii="Calibri" w:hAnsi="Calibri"/>
          <w:szCs w:val="24"/>
          <w:lang w:eastAsia="en-US"/>
        </w:rPr>
        <w:t>[</w:t>
      </w:r>
      <w:r w:rsidRPr="008343E1">
        <w:rPr>
          <w:rFonts w:ascii="Calibri" w:hAnsi="Calibri"/>
          <w:szCs w:val="24"/>
          <w:lang w:eastAsia="en-US"/>
        </w:rPr>
        <w:t xml:space="preserve">Wilkins </w:t>
      </w:r>
      <w:r w:rsidR="00C30B5F" w:rsidRPr="008343E1">
        <w:rPr>
          <w:rFonts w:ascii="Calibri" w:hAnsi="Calibri"/>
          <w:szCs w:val="24"/>
          <w:lang w:eastAsia="en-US"/>
        </w:rPr>
        <w:t>(</w:t>
      </w:r>
      <w:r w:rsidRPr="008343E1">
        <w:rPr>
          <w:rFonts w:ascii="Calibri" w:hAnsi="Calibri"/>
          <w:szCs w:val="24"/>
          <w:lang w:eastAsia="en-US"/>
        </w:rPr>
        <w:t>1928</w:t>
      </w:r>
      <w:r w:rsidR="00C30B5F" w:rsidRPr="008343E1">
        <w:rPr>
          <w:rFonts w:ascii="Calibri" w:hAnsi="Calibri"/>
          <w:szCs w:val="24"/>
          <w:lang w:eastAsia="en-US"/>
        </w:rPr>
        <w:t>)]</w:t>
      </w:r>
      <w:r w:rsidRPr="008343E1">
        <w:rPr>
          <w:rFonts w:ascii="Calibri" w:hAnsi="Calibri"/>
          <w:szCs w:val="24"/>
          <w:lang w:eastAsia="en-US"/>
        </w:rPr>
        <w:t xml:space="preserve">, in </w:t>
      </w:r>
      <w:r w:rsidR="00C30B5F" w:rsidRPr="008343E1">
        <w:rPr>
          <w:rFonts w:ascii="Calibri" w:hAnsi="Calibri"/>
          <w:szCs w:val="24"/>
          <w:lang w:eastAsia="en-US"/>
        </w:rPr>
        <w:t>[</w:t>
      </w:r>
      <w:r w:rsidRPr="008343E1">
        <w:rPr>
          <w:rFonts w:ascii="Calibri" w:hAnsi="Calibri"/>
          <w:szCs w:val="24"/>
          <w:lang w:eastAsia="en-US"/>
        </w:rPr>
        <w:t xml:space="preserve">Osman </w:t>
      </w:r>
      <w:r w:rsidR="00C30B5F" w:rsidRPr="008343E1">
        <w:rPr>
          <w:rFonts w:ascii="Calibri" w:hAnsi="Calibri"/>
          <w:szCs w:val="24"/>
          <w:lang w:eastAsia="en-US"/>
        </w:rPr>
        <w:t>(</w:t>
      </w:r>
      <w:r w:rsidRPr="008343E1">
        <w:rPr>
          <w:rFonts w:ascii="Calibri" w:hAnsi="Calibri"/>
          <w:szCs w:val="24"/>
          <w:lang w:eastAsia="en-US"/>
        </w:rPr>
        <w:t>2013)</w:t>
      </w:r>
      <w:r w:rsidR="00C30B5F" w:rsidRPr="008343E1">
        <w:rPr>
          <w:rFonts w:ascii="Calibri" w:hAnsi="Calibri"/>
          <w:szCs w:val="24"/>
          <w:lang w:eastAsia="en-US"/>
        </w:rPr>
        <w:t>]</w:t>
      </w:r>
      <w:r w:rsidRPr="008343E1">
        <w:rPr>
          <w:rFonts w:ascii="Calibri" w:hAnsi="Calibri"/>
          <w:szCs w:val="24"/>
          <w:lang w:eastAsia="en-US"/>
        </w:rPr>
        <w:t xml:space="preserve">. Therefore, syllogisms of this kind should be easy-to-evaluate, and not load WM.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De Neys </w:t>
      </w:r>
      <w:r w:rsidR="004E4008" w:rsidRPr="008343E1">
        <w:rPr>
          <w:rFonts w:ascii="Calibri" w:hAnsi="Calibri"/>
          <w:szCs w:val="24"/>
          <w:lang w:eastAsia="en-US"/>
        </w:rPr>
        <w:t>[</w:t>
      </w:r>
      <w:r w:rsidRPr="008343E1">
        <w:rPr>
          <w:rFonts w:ascii="Calibri" w:hAnsi="Calibri"/>
          <w:szCs w:val="24"/>
          <w:lang w:eastAsia="en-US"/>
        </w:rPr>
        <w:t>(2006b)</w:t>
      </w:r>
      <w:r w:rsidR="004E4008" w:rsidRPr="008343E1">
        <w:rPr>
          <w:rFonts w:ascii="Calibri" w:hAnsi="Calibri"/>
          <w:szCs w:val="24"/>
          <w:lang w:eastAsia="en-US"/>
        </w:rPr>
        <w:t>]</w:t>
      </w:r>
      <w:r w:rsidRPr="008343E1">
        <w:rPr>
          <w:rFonts w:ascii="Calibri" w:hAnsi="Calibri"/>
          <w:szCs w:val="24"/>
          <w:lang w:eastAsia="en-US"/>
        </w:rPr>
        <w:t xml:space="preserve"> shows that most often subjects tend to evaluate syllogisms by evaluating the believability of the conclusion. The results showed that accuracy levels, with respect to validity, were near ceiling, regardless of WMC and WM loadings. In particular, no-conflict syllogisms posed no WM loadings, and accuracy levels, also with respect to validity, were near ceiling </w:t>
      </w:r>
      <w:r w:rsidR="00544691" w:rsidRPr="008343E1">
        <w:rPr>
          <w:rFonts w:ascii="Calibri" w:hAnsi="Calibri"/>
          <w:szCs w:val="24"/>
          <w:lang w:eastAsia="en-US"/>
        </w:rPr>
        <w:t>[</w:t>
      </w:r>
      <w:r w:rsidRPr="008343E1">
        <w:rPr>
          <w:rFonts w:ascii="Calibri" w:hAnsi="Calibri"/>
          <w:szCs w:val="24"/>
          <w:lang w:eastAsia="en-US"/>
        </w:rPr>
        <w:t xml:space="preserve">De Neys </w:t>
      </w:r>
      <w:r w:rsidR="00544691" w:rsidRPr="008343E1">
        <w:rPr>
          <w:rFonts w:ascii="Calibri" w:hAnsi="Calibri"/>
          <w:szCs w:val="24"/>
          <w:lang w:eastAsia="en-US"/>
        </w:rPr>
        <w:t>(</w:t>
      </w:r>
      <w:r w:rsidRPr="008343E1">
        <w:rPr>
          <w:rFonts w:ascii="Calibri" w:hAnsi="Calibri"/>
          <w:szCs w:val="24"/>
          <w:lang w:eastAsia="en-US"/>
        </w:rPr>
        <w:t>2006b)</w:t>
      </w:r>
      <w:r w:rsidR="00544691" w:rsidRPr="008343E1">
        <w:rPr>
          <w:rFonts w:ascii="Calibri" w:hAnsi="Calibri"/>
          <w:szCs w:val="24"/>
          <w:lang w:eastAsia="en-US"/>
        </w:rPr>
        <w:t>]</w:t>
      </w:r>
      <w:r w:rsidRPr="008343E1">
        <w:rPr>
          <w:rFonts w:ascii="Calibri" w:hAnsi="Calibri"/>
          <w:szCs w:val="24"/>
          <w:lang w:eastAsia="en-US"/>
        </w:rPr>
        <w:t xml:space="preserve">. According to Osman </w:t>
      </w:r>
      <w:r w:rsidR="000948A3">
        <w:rPr>
          <w:rFonts w:ascii="Calibri" w:hAnsi="Calibri"/>
          <w:szCs w:val="24"/>
          <w:lang w:eastAsia="en-US"/>
        </w:rPr>
        <w:t>[</w:t>
      </w:r>
      <w:r w:rsidRPr="008343E1">
        <w:rPr>
          <w:rFonts w:ascii="Calibri" w:hAnsi="Calibri"/>
          <w:szCs w:val="24"/>
          <w:lang w:eastAsia="en-US"/>
        </w:rPr>
        <w:t>(2013)</w:t>
      </w:r>
      <w:r w:rsidR="000948A3">
        <w:rPr>
          <w:rFonts w:ascii="Calibri" w:hAnsi="Calibri"/>
          <w:szCs w:val="24"/>
          <w:lang w:eastAsia="en-US"/>
        </w:rPr>
        <w:t>]</w:t>
      </w:r>
      <w:r w:rsidRPr="008343E1">
        <w:rPr>
          <w:rFonts w:ascii="Calibri" w:hAnsi="Calibri"/>
          <w:szCs w:val="24"/>
          <w:lang w:eastAsia="en-US"/>
        </w:rPr>
        <w:t xml:space="preserve">, this suggests that T-1 processes underpin such evaluations.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On DPTs, we would also expect that responses in conflict tasks </w:t>
      </w:r>
      <w:proofErr w:type="gramStart"/>
      <w:r w:rsidRPr="008343E1">
        <w:rPr>
          <w:rFonts w:ascii="Calibri" w:hAnsi="Calibri"/>
          <w:szCs w:val="24"/>
          <w:lang w:eastAsia="en-US"/>
        </w:rPr>
        <w:t>are</w:t>
      </w:r>
      <w:proofErr w:type="gramEnd"/>
      <w:r w:rsidRPr="008343E1">
        <w:rPr>
          <w:rFonts w:ascii="Calibri" w:hAnsi="Calibri"/>
          <w:szCs w:val="24"/>
          <w:lang w:eastAsia="en-US"/>
        </w:rPr>
        <w:t xml:space="preserve"> generated in virtue of T-2 processing. This, presumably, is due to conflict syllogisms being </w:t>
      </w:r>
      <w:proofErr w:type="gramStart"/>
      <w:r w:rsidRPr="008343E1">
        <w:rPr>
          <w:rFonts w:ascii="Calibri" w:hAnsi="Calibri"/>
          <w:szCs w:val="24"/>
          <w:lang w:eastAsia="en-US"/>
        </w:rPr>
        <w:t>hard(</w:t>
      </w:r>
      <w:proofErr w:type="gramEnd"/>
      <w:r w:rsidRPr="008343E1">
        <w:rPr>
          <w:rFonts w:ascii="Calibri" w:hAnsi="Calibri"/>
          <w:szCs w:val="24"/>
          <w:lang w:eastAsia="en-US"/>
        </w:rPr>
        <w:t xml:space="preserve">er) to evaluate, since when logic and belief disagree, subjects tend to base their responses on the believability of the conclusion. In evaluating conflict syllogisms, subjects integrate the premises and conclusion. This is a rather hard task since this integration is in contrast with the subjects’ existing world-knowledge </w:t>
      </w:r>
      <w:r w:rsidR="00687AEE" w:rsidRPr="008343E1">
        <w:rPr>
          <w:rFonts w:ascii="Calibri" w:hAnsi="Calibri"/>
          <w:szCs w:val="24"/>
          <w:lang w:eastAsia="en-US"/>
        </w:rPr>
        <w:t>[</w:t>
      </w:r>
      <w:r w:rsidRPr="008343E1">
        <w:rPr>
          <w:rFonts w:ascii="Calibri" w:hAnsi="Calibri"/>
          <w:szCs w:val="24"/>
          <w:lang w:eastAsia="en-US"/>
        </w:rPr>
        <w:t xml:space="preserve">Klauer, Musch, &amp; Naumer, </w:t>
      </w:r>
      <w:r w:rsidR="00687AEE" w:rsidRPr="008343E1">
        <w:rPr>
          <w:rFonts w:ascii="Calibri" w:hAnsi="Calibri"/>
          <w:szCs w:val="24"/>
          <w:lang w:eastAsia="en-US"/>
        </w:rPr>
        <w:t>(</w:t>
      </w:r>
      <w:r w:rsidRPr="008343E1">
        <w:rPr>
          <w:rFonts w:ascii="Calibri" w:hAnsi="Calibri"/>
          <w:szCs w:val="24"/>
          <w:lang w:eastAsia="en-US"/>
        </w:rPr>
        <w:t>2000)</w:t>
      </w:r>
      <w:r w:rsidR="00687AEE" w:rsidRPr="008343E1">
        <w:rPr>
          <w:rFonts w:ascii="Calibri" w:hAnsi="Calibri"/>
          <w:szCs w:val="24"/>
          <w:lang w:eastAsia="en-US"/>
        </w:rPr>
        <w:t>]</w:t>
      </w:r>
      <w:r w:rsidRPr="008343E1">
        <w:rPr>
          <w:rFonts w:ascii="Calibri" w:hAnsi="Calibri"/>
          <w:szCs w:val="24"/>
          <w:lang w:eastAsia="en-US"/>
        </w:rPr>
        <w:t xml:space="preserve">. In turn, integrating premises and conclusion has an effect of WM loading, </w:t>
      </w:r>
      <w:r w:rsidR="0044453F" w:rsidRPr="008343E1">
        <w:rPr>
          <w:rFonts w:ascii="Calibri" w:hAnsi="Calibri"/>
          <w:szCs w:val="24"/>
          <w:lang w:eastAsia="en-US"/>
        </w:rPr>
        <w:t>[</w:t>
      </w:r>
      <w:r w:rsidRPr="008343E1">
        <w:rPr>
          <w:rFonts w:ascii="Calibri" w:hAnsi="Calibri"/>
          <w:szCs w:val="24"/>
          <w:lang w:eastAsia="en-US"/>
        </w:rPr>
        <w:t xml:space="preserve">De Neys, </w:t>
      </w:r>
      <w:r w:rsidR="0044453F" w:rsidRPr="008343E1">
        <w:rPr>
          <w:rFonts w:ascii="Calibri" w:hAnsi="Calibri"/>
          <w:szCs w:val="24"/>
          <w:lang w:eastAsia="en-US"/>
        </w:rPr>
        <w:t>(</w:t>
      </w:r>
      <w:r w:rsidRPr="008343E1">
        <w:rPr>
          <w:rFonts w:ascii="Calibri" w:hAnsi="Calibri"/>
          <w:szCs w:val="24"/>
          <w:lang w:eastAsia="en-US"/>
        </w:rPr>
        <w:t>2006b)</w:t>
      </w:r>
      <w:r w:rsidR="0044453F" w:rsidRPr="008343E1">
        <w:rPr>
          <w:rFonts w:ascii="Calibri" w:hAnsi="Calibri"/>
          <w:szCs w:val="24"/>
          <w:lang w:eastAsia="en-US"/>
        </w:rPr>
        <w:t>]</w:t>
      </w:r>
      <w:r w:rsidRPr="008343E1">
        <w:rPr>
          <w:rFonts w:ascii="Calibri" w:hAnsi="Calibri"/>
          <w:szCs w:val="24"/>
          <w:lang w:eastAsia="en-US"/>
        </w:rPr>
        <w:t xml:space="preserve">. According to De Neys, </w:t>
      </w:r>
      <w:r w:rsidRPr="008343E1">
        <w:rPr>
          <w:rFonts w:ascii="Calibri" w:hAnsi="Calibri"/>
          <w:iCs/>
          <w:szCs w:val="24"/>
          <w:lang w:val="en-US"/>
        </w:rPr>
        <w:t>regardless of the WMC</w:t>
      </w:r>
      <w:r w:rsidRPr="008343E1">
        <w:rPr>
          <w:rFonts w:ascii="Calibri" w:hAnsi="Calibri"/>
          <w:szCs w:val="24"/>
          <w:lang w:val="en-US"/>
        </w:rPr>
        <w:t xml:space="preserve"> of participants evaluating the syllogisms, accuracy levels</w:t>
      </w:r>
      <w:r w:rsidRPr="008343E1">
        <w:rPr>
          <w:rFonts w:ascii="Calibri" w:hAnsi="Calibri"/>
          <w:iCs/>
          <w:szCs w:val="24"/>
          <w:lang w:val="en-US"/>
        </w:rPr>
        <w:t xml:space="preserve"> was severely affected as the WM load increased</w:t>
      </w:r>
      <w:r w:rsidRPr="008343E1">
        <w:rPr>
          <w:rFonts w:ascii="Calibri" w:hAnsi="Calibri"/>
          <w:szCs w:val="24"/>
          <w:lang w:val="en-US"/>
        </w:rPr>
        <w:t xml:space="preserve">. </w:t>
      </w:r>
      <w:r w:rsidRPr="008343E1">
        <w:rPr>
          <w:rFonts w:ascii="Calibri" w:hAnsi="Calibri"/>
          <w:szCs w:val="24"/>
          <w:lang w:eastAsia="en-US"/>
        </w:rPr>
        <w:t xml:space="preserve">Given the defining characteristic of T-2 processing, it seems that responses were generated by T-2. Briefly, in line with the DPTs claims, simple tasks (those which do not load WM, and do not affect accuracy levels) are performed using T-1, whereas </w:t>
      </w:r>
      <w:proofErr w:type="gramStart"/>
      <w:r w:rsidRPr="008343E1">
        <w:rPr>
          <w:rFonts w:ascii="Calibri" w:hAnsi="Calibri"/>
          <w:szCs w:val="24"/>
          <w:lang w:eastAsia="en-US"/>
        </w:rPr>
        <w:t>hard(</w:t>
      </w:r>
      <w:proofErr w:type="gramEnd"/>
      <w:r w:rsidRPr="008343E1">
        <w:rPr>
          <w:rFonts w:ascii="Calibri" w:hAnsi="Calibri"/>
          <w:szCs w:val="24"/>
          <w:lang w:eastAsia="en-US"/>
        </w:rPr>
        <w:t xml:space="preserve">er) tasks (those which load WM and affect accuracy levels) are executed by T-2 </w:t>
      </w:r>
      <w:r w:rsidR="00BC6F6E" w:rsidRPr="008343E1">
        <w:rPr>
          <w:rFonts w:ascii="Calibri" w:hAnsi="Calibri"/>
          <w:szCs w:val="24"/>
          <w:lang w:eastAsia="en-US"/>
        </w:rPr>
        <w:t>[</w:t>
      </w:r>
      <w:r w:rsidRPr="008343E1">
        <w:rPr>
          <w:rFonts w:ascii="Calibri" w:hAnsi="Calibri"/>
          <w:szCs w:val="24"/>
          <w:lang w:eastAsia="en-US"/>
        </w:rPr>
        <w:t>Osman</w:t>
      </w:r>
      <w:r w:rsidR="00BC6F6E" w:rsidRPr="008343E1">
        <w:rPr>
          <w:rFonts w:ascii="Calibri" w:hAnsi="Calibri"/>
          <w:szCs w:val="24"/>
          <w:lang w:eastAsia="en-US"/>
        </w:rPr>
        <w:t xml:space="preserve"> (</w:t>
      </w:r>
      <w:r w:rsidRPr="008343E1">
        <w:rPr>
          <w:rFonts w:ascii="Calibri" w:hAnsi="Calibri"/>
          <w:szCs w:val="24"/>
          <w:lang w:eastAsia="en-US"/>
        </w:rPr>
        <w:t>2013)</w:t>
      </w:r>
      <w:r w:rsidR="00BC6F6E" w:rsidRPr="008343E1">
        <w:rPr>
          <w:rFonts w:ascii="Calibri" w:hAnsi="Calibri"/>
          <w:szCs w:val="24"/>
          <w:lang w:eastAsia="en-US"/>
        </w:rPr>
        <w:t>]</w:t>
      </w:r>
      <w:r w:rsidRPr="008343E1">
        <w:rPr>
          <w:rFonts w:ascii="Calibri" w:hAnsi="Calibri"/>
          <w:szCs w:val="24"/>
          <w:lang w:eastAsia="en-US"/>
        </w:rPr>
        <w:t xml:space="preserve">.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In contrast to DPTs, Osman argues that the above results do not indicate a qualitative difference between the two kinds of processes but merely suggest a quantitative distinction along a single dimension, i.e. the difficulty of the task. Similarly, it could be argued that participants are doing the same thing – call this belief management – in both cases of conflict and non-conflict syllogisms. Simply, in the case of valid syllogisms with believable conclusions (or invalid syllogisms with unbelievable conclusions), the ‘logical response’ and the ‘belief management’ response coincide. In turn, the issue of integrating premises that are in conflict with real-world knowledge is rather a different one, which also plays a role in the way reasoning tasks are processed.</w:t>
      </w:r>
      <w:r w:rsidRPr="008343E1">
        <w:rPr>
          <w:rStyle w:val="EndnoteReference"/>
          <w:rFonts w:ascii="Calibri" w:hAnsi="Calibri"/>
          <w:szCs w:val="24"/>
          <w:lang w:eastAsia="en-US"/>
        </w:rPr>
        <w:endnoteReference w:id="8"/>
      </w:r>
    </w:p>
    <w:p w:rsidR="000708F8" w:rsidRPr="008343E1" w:rsidRDefault="000708F8" w:rsidP="00C735CD">
      <w:pPr>
        <w:widowControl w:val="0"/>
        <w:autoSpaceDE w:val="0"/>
        <w:autoSpaceDN w:val="0"/>
        <w:adjustRightInd w:val="0"/>
        <w:spacing w:after="200" w:line="276" w:lineRule="auto"/>
        <w:rPr>
          <w:rFonts w:ascii="Calibri" w:hAnsi="Calibri"/>
          <w:b/>
          <w:szCs w:val="24"/>
          <w:lang w:eastAsia="en-US"/>
        </w:rPr>
      </w:pPr>
    </w:p>
    <w:p w:rsidR="000708F8" w:rsidRPr="008343E1" w:rsidRDefault="000708F8" w:rsidP="00C735CD">
      <w:pPr>
        <w:widowControl w:val="0"/>
        <w:autoSpaceDE w:val="0"/>
        <w:autoSpaceDN w:val="0"/>
        <w:adjustRightInd w:val="0"/>
        <w:spacing w:after="200" w:line="276" w:lineRule="auto"/>
        <w:rPr>
          <w:rFonts w:ascii="Calibri" w:hAnsi="Calibri"/>
          <w:i/>
          <w:szCs w:val="24"/>
          <w:lang w:eastAsia="en-US"/>
        </w:rPr>
      </w:pPr>
      <w:r w:rsidRPr="008343E1">
        <w:rPr>
          <w:rFonts w:ascii="Calibri" w:hAnsi="Calibri"/>
          <w:i/>
          <w:szCs w:val="24"/>
          <w:lang w:eastAsia="en-US"/>
        </w:rPr>
        <w:t>Speed of T-1 processes &amp; immunity to WM loadings</w:t>
      </w:r>
    </w:p>
    <w:p w:rsidR="000708F8" w:rsidRPr="008343E1" w:rsidRDefault="000708F8" w:rsidP="00C735CD">
      <w:pPr>
        <w:widowControl w:val="0"/>
        <w:autoSpaceDE w:val="0"/>
        <w:autoSpaceDN w:val="0"/>
        <w:adjustRightInd w:val="0"/>
        <w:spacing w:after="200" w:line="276" w:lineRule="auto"/>
        <w:rPr>
          <w:rFonts w:ascii="Calibri" w:hAnsi="Calibri"/>
          <w:b/>
          <w:szCs w:val="24"/>
          <w:lang w:eastAsia="en-US"/>
        </w:rPr>
      </w:pPr>
      <w:r w:rsidRPr="008343E1">
        <w:rPr>
          <w:rFonts w:ascii="Calibri" w:hAnsi="Calibri"/>
          <w:szCs w:val="24"/>
          <w:lang w:eastAsia="en-US"/>
        </w:rPr>
        <w:t xml:space="preserve">A further defining characteristic of T-1 processes according to DPTs is that they generate faster responses when compared to responses produced by T-2 processes. For, T-1 processes are allegedly autonomous, and in turn faster (than T-2), since they are immune to WM loadings, which naturally slow down reasoning processes </w:t>
      </w:r>
      <w:r w:rsidR="00A34E66" w:rsidRPr="008343E1">
        <w:rPr>
          <w:rFonts w:ascii="Calibri" w:hAnsi="Calibri"/>
          <w:szCs w:val="24"/>
          <w:lang w:eastAsia="en-US"/>
        </w:rPr>
        <w:t>[</w:t>
      </w:r>
      <w:r w:rsidRPr="008343E1">
        <w:rPr>
          <w:rFonts w:ascii="Calibri" w:hAnsi="Calibri"/>
          <w:szCs w:val="24"/>
          <w:lang w:eastAsia="en-US"/>
        </w:rPr>
        <w:t xml:space="preserve">Posner </w:t>
      </w:r>
      <w:r w:rsidR="00A34E66" w:rsidRPr="008343E1">
        <w:rPr>
          <w:rFonts w:ascii="Calibri" w:hAnsi="Calibri"/>
          <w:szCs w:val="24"/>
          <w:lang w:eastAsia="en-US"/>
        </w:rPr>
        <w:t>(</w:t>
      </w:r>
      <w:r w:rsidRPr="008343E1">
        <w:rPr>
          <w:rFonts w:ascii="Calibri" w:hAnsi="Calibri"/>
          <w:szCs w:val="24"/>
          <w:lang w:eastAsia="en-US"/>
        </w:rPr>
        <w:t>1978</w:t>
      </w:r>
      <w:r w:rsidR="00A34E66" w:rsidRPr="008343E1">
        <w:rPr>
          <w:rFonts w:ascii="Calibri" w:hAnsi="Calibri"/>
          <w:szCs w:val="24"/>
          <w:lang w:eastAsia="en-US"/>
        </w:rPr>
        <w:t>)],</w:t>
      </w:r>
      <w:r w:rsidRPr="008343E1">
        <w:rPr>
          <w:rFonts w:ascii="Calibri" w:hAnsi="Calibri"/>
          <w:szCs w:val="24"/>
          <w:lang w:eastAsia="en-US"/>
        </w:rPr>
        <w:t xml:space="preserve"> in </w:t>
      </w:r>
      <w:r w:rsidR="00A34E66" w:rsidRPr="008343E1">
        <w:rPr>
          <w:rFonts w:ascii="Calibri" w:hAnsi="Calibri"/>
          <w:szCs w:val="24"/>
          <w:lang w:eastAsia="en-US"/>
        </w:rPr>
        <w:t>[</w:t>
      </w:r>
      <w:r w:rsidRPr="008343E1">
        <w:rPr>
          <w:rFonts w:ascii="Calibri" w:hAnsi="Calibri"/>
          <w:szCs w:val="24"/>
          <w:lang w:eastAsia="en-US"/>
        </w:rPr>
        <w:t xml:space="preserve">Osman </w:t>
      </w:r>
      <w:r w:rsidR="00A34E66" w:rsidRPr="008343E1">
        <w:rPr>
          <w:rFonts w:ascii="Calibri" w:hAnsi="Calibri"/>
          <w:szCs w:val="24"/>
          <w:lang w:eastAsia="en-US"/>
        </w:rPr>
        <w:t>(</w:t>
      </w:r>
      <w:r w:rsidRPr="008343E1">
        <w:rPr>
          <w:rFonts w:ascii="Calibri" w:hAnsi="Calibri"/>
          <w:szCs w:val="24"/>
          <w:lang w:eastAsia="en-US"/>
        </w:rPr>
        <w:t>2013)</w:t>
      </w:r>
      <w:r w:rsidR="00A34E66" w:rsidRPr="008343E1">
        <w:rPr>
          <w:rFonts w:ascii="Calibri" w:hAnsi="Calibri"/>
          <w:szCs w:val="24"/>
          <w:lang w:eastAsia="en-US"/>
        </w:rPr>
        <w:t>]</w:t>
      </w:r>
      <w:r w:rsidRPr="008343E1">
        <w:rPr>
          <w:rFonts w:ascii="Calibri" w:hAnsi="Calibri"/>
          <w:szCs w:val="24"/>
          <w:lang w:eastAsia="en-US"/>
        </w:rPr>
        <w:t>. (See also below for the relation between WM and attention).</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De Neys </w:t>
      </w:r>
      <w:r w:rsidR="004E4008" w:rsidRPr="008343E1">
        <w:rPr>
          <w:rFonts w:ascii="Calibri" w:hAnsi="Calibri"/>
          <w:szCs w:val="24"/>
          <w:lang w:eastAsia="en-US"/>
        </w:rPr>
        <w:t>[</w:t>
      </w:r>
      <w:r w:rsidRPr="008343E1">
        <w:rPr>
          <w:rFonts w:ascii="Calibri" w:hAnsi="Calibri"/>
          <w:szCs w:val="24"/>
          <w:lang w:eastAsia="en-US"/>
        </w:rPr>
        <w:t>(2006a)</w:t>
      </w:r>
      <w:r w:rsidR="004E4008" w:rsidRPr="008343E1">
        <w:rPr>
          <w:rFonts w:ascii="Calibri" w:hAnsi="Calibri"/>
          <w:szCs w:val="24"/>
          <w:lang w:eastAsia="en-US"/>
        </w:rPr>
        <w:t>]</w:t>
      </w:r>
      <w:r w:rsidRPr="008343E1">
        <w:rPr>
          <w:rFonts w:ascii="Calibri" w:hAnsi="Calibri"/>
          <w:szCs w:val="24"/>
          <w:lang w:eastAsia="en-US"/>
        </w:rPr>
        <w:t xml:space="preserve"> examined the immunity of T-1 processes to WM loadings by giving subjects the following selection task. A set of four cards was presented alongside a conditional statement such as an indicative or a deontic task, and subjects were asked to pick out cards that would test the rule.</w:t>
      </w:r>
      <w:r w:rsidRPr="008343E1">
        <w:rPr>
          <w:rStyle w:val="EndnoteReference"/>
          <w:rFonts w:ascii="Calibri" w:hAnsi="Calibri"/>
          <w:szCs w:val="24"/>
          <w:lang w:eastAsia="en-US"/>
        </w:rPr>
        <w:endnoteReference w:id="9"/>
      </w:r>
      <w:r w:rsidRPr="008343E1">
        <w:rPr>
          <w:rFonts w:ascii="Calibri" w:hAnsi="Calibri"/>
          <w:szCs w:val="24"/>
          <w:lang w:eastAsia="en-US"/>
        </w:rPr>
        <w:t xml:space="preserve"> Performance accuracy levels in deontic tasks are supposedly much higher than in indicative tasks since prior knowledge about real world infractions of regulations facilitates responses. Furthermore, deontic tasks are allegedly executed in virtue of T-1 processing. Thus, Osman </w:t>
      </w:r>
      <w:r w:rsidR="00915385" w:rsidRPr="008343E1">
        <w:rPr>
          <w:rFonts w:ascii="Calibri" w:hAnsi="Calibri"/>
          <w:szCs w:val="24"/>
          <w:lang w:eastAsia="en-US"/>
        </w:rPr>
        <w:t>[</w:t>
      </w:r>
      <w:r w:rsidRPr="008343E1">
        <w:rPr>
          <w:rFonts w:ascii="Calibri" w:hAnsi="Calibri"/>
          <w:szCs w:val="24"/>
          <w:lang w:eastAsia="en-US"/>
        </w:rPr>
        <w:t>(2013)</w:t>
      </w:r>
      <w:r w:rsidR="00B92291" w:rsidRPr="008343E1">
        <w:rPr>
          <w:rFonts w:ascii="Calibri" w:hAnsi="Calibri"/>
          <w:szCs w:val="24"/>
          <w:lang w:eastAsia="en-US"/>
        </w:rPr>
        <w:t>]</w:t>
      </w:r>
      <w:r w:rsidRPr="008343E1">
        <w:rPr>
          <w:rFonts w:ascii="Calibri" w:hAnsi="Calibri"/>
          <w:szCs w:val="24"/>
          <w:lang w:eastAsia="en-US"/>
        </w:rPr>
        <w:t xml:space="preserve"> suggests that, according to DPTs, we can predict that WM loadings should have little or no effect on accuracy levels in deontic tasks since they are supposed to be generated by T-1 processes, which are immune to WM loadings. There should, however, be an effect of WM loadings on accuracy levels in indicative tasks.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In contrast to what DP theorists would intuitively predict, De Neys </w:t>
      </w:r>
      <w:r w:rsidR="00915385" w:rsidRPr="008343E1">
        <w:rPr>
          <w:rFonts w:ascii="Calibri" w:hAnsi="Calibri"/>
          <w:szCs w:val="24"/>
          <w:lang w:eastAsia="en-US"/>
        </w:rPr>
        <w:t>[</w:t>
      </w:r>
      <w:r w:rsidRPr="008343E1">
        <w:rPr>
          <w:rFonts w:ascii="Calibri" w:hAnsi="Calibri"/>
          <w:szCs w:val="24"/>
          <w:lang w:eastAsia="en-US"/>
        </w:rPr>
        <w:t>(2006a)</w:t>
      </w:r>
      <w:r w:rsidR="00915385" w:rsidRPr="008343E1">
        <w:rPr>
          <w:rFonts w:ascii="Calibri" w:hAnsi="Calibri"/>
          <w:szCs w:val="24"/>
          <w:lang w:eastAsia="en-US"/>
        </w:rPr>
        <w:t>]</w:t>
      </w:r>
      <w:r w:rsidRPr="008343E1">
        <w:rPr>
          <w:rFonts w:ascii="Calibri" w:hAnsi="Calibri"/>
          <w:szCs w:val="24"/>
          <w:lang w:eastAsia="en-US"/>
        </w:rPr>
        <w:t xml:space="preserve"> shows that performance accuracy levels in both deontic and indicative tasks were significantly compromised when WM was loaded. As a consequence, Osman argues that </w:t>
      </w:r>
      <w:proofErr w:type="gramStart"/>
      <w:r w:rsidRPr="008343E1">
        <w:rPr>
          <w:rFonts w:ascii="Calibri" w:hAnsi="Calibri"/>
          <w:szCs w:val="24"/>
          <w:lang w:eastAsia="en-US"/>
        </w:rPr>
        <w:t>either reasoning in deontic tasks is not generated by T-1 processes</w:t>
      </w:r>
      <w:proofErr w:type="gramEnd"/>
      <w:r w:rsidRPr="008343E1">
        <w:rPr>
          <w:rFonts w:ascii="Calibri" w:hAnsi="Calibri"/>
          <w:szCs w:val="24"/>
          <w:lang w:eastAsia="en-US"/>
        </w:rPr>
        <w:t>, or that T-1 processes are not autonomous. This, in turn, is in direct opposition to the defining characteristics that DPTs ascribe to T-1 processes. Based on this evidence, critics of DPTs argue that there are not two qualitatively distinct kinds of processes but rather one that generates accurate responses to simpler tasks and inaccurate responses to harder tasks.</w:t>
      </w:r>
    </w:p>
    <w:p w:rsidR="000708F8" w:rsidRPr="008343E1" w:rsidRDefault="000708F8" w:rsidP="00C735CD">
      <w:pPr>
        <w:widowControl w:val="0"/>
        <w:autoSpaceDE w:val="0"/>
        <w:autoSpaceDN w:val="0"/>
        <w:adjustRightInd w:val="0"/>
        <w:spacing w:after="200" w:line="276" w:lineRule="auto"/>
        <w:rPr>
          <w:rFonts w:ascii="Calibri" w:hAnsi="Calibri"/>
          <w:b/>
          <w:i/>
          <w:szCs w:val="24"/>
          <w:u w:val="single"/>
          <w:lang w:eastAsia="en-US"/>
        </w:rPr>
      </w:pPr>
    </w:p>
    <w:p w:rsidR="000708F8" w:rsidRPr="008343E1" w:rsidRDefault="000708F8" w:rsidP="00C735CD">
      <w:pPr>
        <w:widowControl w:val="0"/>
        <w:autoSpaceDE w:val="0"/>
        <w:autoSpaceDN w:val="0"/>
        <w:adjustRightInd w:val="0"/>
        <w:spacing w:after="200" w:line="276" w:lineRule="auto"/>
        <w:rPr>
          <w:rFonts w:ascii="Calibri" w:hAnsi="Calibri"/>
          <w:i/>
          <w:szCs w:val="24"/>
          <w:lang w:eastAsia="en-US"/>
        </w:rPr>
      </w:pPr>
      <w:r w:rsidRPr="008343E1">
        <w:rPr>
          <w:rFonts w:ascii="Calibri" w:hAnsi="Calibri"/>
          <w:i/>
          <w:szCs w:val="24"/>
          <w:lang w:eastAsia="en-US"/>
        </w:rPr>
        <w:t>How automatic is automatic?</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rPr>
        <w:t xml:space="preserve">The final line of criticism against DPTs that we consider here concerns the ‘automatic’ nature of T-1 processes, which, as explained, is closely related to the generation of rapid responses. </w:t>
      </w:r>
      <w:r w:rsidRPr="008343E1">
        <w:rPr>
          <w:rFonts w:ascii="Calibri" w:hAnsi="Calibri"/>
          <w:szCs w:val="24"/>
          <w:lang w:eastAsia="en-US"/>
        </w:rPr>
        <w:t xml:space="preserve">De Neys </w:t>
      </w:r>
      <w:r w:rsidR="00CE704A" w:rsidRPr="008343E1">
        <w:rPr>
          <w:rFonts w:ascii="Calibri" w:hAnsi="Calibri"/>
          <w:szCs w:val="24"/>
          <w:lang w:eastAsia="en-US"/>
        </w:rPr>
        <w:t>[</w:t>
      </w:r>
      <w:r w:rsidRPr="008343E1">
        <w:rPr>
          <w:rFonts w:ascii="Calibri" w:hAnsi="Calibri"/>
          <w:szCs w:val="24"/>
          <w:lang w:eastAsia="en-US"/>
        </w:rPr>
        <w:t>(2006a)</w:t>
      </w:r>
      <w:r w:rsidR="00CE704A" w:rsidRPr="008343E1">
        <w:rPr>
          <w:rFonts w:ascii="Calibri" w:hAnsi="Calibri"/>
          <w:szCs w:val="24"/>
          <w:lang w:eastAsia="en-US"/>
        </w:rPr>
        <w:t>]</w:t>
      </w:r>
      <w:r w:rsidRPr="008343E1">
        <w:rPr>
          <w:rFonts w:ascii="Calibri" w:hAnsi="Calibri"/>
          <w:szCs w:val="24"/>
          <w:lang w:eastAsia="en-US"/>
        </w:rPr>
        <w:t xml:space="preserve"> examined the response speed of subjects on deontic and indicative tasks, and recorded latencies for time spent reading the instructions and time spent making inferences.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The recorded results show that under WM load conditions, participants took about 26sec. to make an inference for deontic tasks vs. 20sec. for indicative tasks. Under no WM load conditions, subjects spent approximately 22sec. before making an inference in deontic tasks, and 20sec. for indicative tasks.</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Comparison of times spent making inferences between both versions of tasks, and regardless of load manipulation, showed little or no difference, </w:t>
      </w:r>
      <w:r w:rsidR="00161CCE" w:rsidRPr="008343E1">
        <w:rPr>
          <w:rFonts w:ascii="Calibri" w:hAnsi="Calibri"/>
          <w:szCs w:val="24"/>
          <w:lang w:eastAsia="en-US"/>
        </w:rPr>
        <w:t>[</w:t>
      </w:r>
      <w:r w:rsidRPr="008343E1">
        <w:rPr>
          <w:rFonts w:ascii="Calibri" w:hAnsi="Calibri"/>
          <w:szCs w:val="24"/>
          <w:lang w:eastAsia="en-US"/>
        </w:rPr>
        <w:t xml:space="preserve">De Neys </w:t>
      </w:r>
      <w:r w:rsidR="00161CCE" w:rsidRPr="008343E1">
        <w:rPr>
          <w:rFonts w:ascii="Calibri" w:hAnsi="Calibri"/>
          <w:szCs w:val="24"/>
          <w:lang w:eastAsia="en-US"/>
        </w:rPr>
        <w:t>(</w:t>
      </w:r>
      <w:r w:rsidRPr="008343E1">
        <w:rPr>
          <w:rFonts w:ascii="Calibri" w:hAnsi="Calibri"/>
          <w:szCs w:val="24"/>
          <w:lang w:eastAsia="en-US"/>
        </w:rPr>
        <w:t>2006a</w:t>
      </w:r>
      <w:r w:rsidR="00161CCE" w:rsidRPr="008343E1">
        <w:rPr>
          <w:rFonts w:ascii="Calibri" w:hAnsi="Calibri"/>
          <w:szCs w:val="24"/>
          <w:lang w:eastAsia="en-US"/>
        </w:rPr>
        <w:t>)</w:t>
      </w:r>
      <w:r w:rsidRPr="008343E1">
        <w:rPr>
          <w:rFonts w:ascii="Calibri" w:hAnsi="Calibri"/>
          <w:szCs w:val="24"/>
          <w:lang w:eastAsia="en-US"/>
        </w:rPr>
        <w:t xml:space="preserve">; Roberts &amp; Newton </w:t>
      </w:r>
      <w:r w:rsidR="00161CCE" w:rsidRPr="008343E1">
        <w:rPr>
          <w:rFonts w:ascii="Calibri" w:hAnsi="Calibri"/>
          <w:szCs w:val="24"/>
          <w:lang w:eastAsia="en-US"/>
        </w:rPr>
        <w:t>(</w:t>
      </w:r>
      <w:r w:rsidRPr="008343E1">
        <w:rPr>
          <w:rFonts w:ascii="Calibri" w:hAnsi="Calibri"/>
          <w:szCs w:val="24"/>
          <w:lang w:eastAsia="en-US"/>
        </w:rPr>
        <w:t>2001</w:t>
      </w:r>
      <w:r w:rsidR="00161CCE" w:rsidRPr="008343E1">
        <w:rPr>
          <w:rFonts w:ascii="Calibri" w:hAnsi="Calibri"/>
          <w:szCs w:val="24"/>
          <w:lang w:eastAsia="en-US"/>
        </w:rPr>
        <w:t>)]</w:t>
      </w:r>
      <w:r w:rsidRPr="008343E1">
        <w:rPr>
          <w:rFonts w:ascii="Calibri" w:hAnsi="Calibri"/>
          <w:szCs w:val="24"/>
          <w:lang w:eastAsia="en-US"/>
        </w:rPr>
        <w:t xml:space="preserve">, in </w:t>
      </w:r>
      <w:r w:rsidR="00161CCE" w:rsidRPr="008343E1">
        <w:rPr>
          <w:rFonts w:ascii="Calibri" w:hAnsi="Calibri"/>
          <w:szCs w:val="24"/>
          <w:lang w:eastAsia="en-US"/>
        </w:rPr>
        <w:t>[</w:t>
      </w:r>
      <w:r w:rsidRPr="008343E1">
        <w:rPr>
          <w:rFonts w:ascii="Calibri" w:hAnsi="Calibri"/>
          <w:szCs w:val="24"/>
          <w:lang w:eastAsia="en-US"/>
        </w:rPr>
        <w:t xml:space="preserve">Osman </w:t>
      </w:r>
      <w:r w:rsidR="00161CCE" w:rsidRPr="008343E1">
        <w:rPr>
          <w:rFonts w:ascii="Calibri" w:hAnsi="Calibri"/>
          <w:szCs w:val="24"/>
          <w:lang w:eastAsia="en-US"/>
        </w:rPr>
        <w:t>(</w:t>
      </w:r>
      <w:r w:rsidRPr="008343E1">
        <w:rPr>
          <w:rFonts w:ascii="Calibri" w:hAnsi="Calibri"/>
          <w:szCs w:val="24"/>
          <w:lang w:eastAsia="en-US"/>
        </w:rPr>
        <w:t>2013)</w:t>
      </w:r>
      <w:r w:rsidR="00161CCE" w:rsidRPr="008343E1">
        <w:rPr>
          <w:rFonts w:ascii="Calibri" w:hAnsi="Calibri"/>
          <w:szCs w:val="24"/>
          <w:lang w:eastAsia="en-US"/>
        </w:rPr>
        <w:t>]</w:t>
      </w:r>
      <w:r w:rsidRPr="008343E1">
        <w:rPr>
          <w:rFonts w:ascii="Calibri" w:hAnsi="Calibri"/>
          <w:szCs w:val="24"/>
          <w:lang w:eastAsia="en-US"/>
        </w:rPr>
        <w:t xml:space="preserve">. Clearly, this is in sharp contrast with the DPTs’ claim that T-1 processing solves deontic tasks, and so responses to such tasks are faster. Regardless of how response times in deontic tasks compare to those of indicative tasks, 26 sec. is seemingly too long for a process to qualify as automatic.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p>
    <w:p w:rsidR="000708F8" w:rsidRPr="008343E1" w:rsidRDefault="000708F8" w:rsidP="00C735CD">
      <w:pPr>
        <w:widowControl w:val="0"/>
        <w:autoSpaceDE w:val="0"/>
        <w:autoSpaceDN w:val="0"/>
        <w:adjustRightInd w:val="0"/>
        <w:spacing w:after="200" w:line="276" w:lineRule="auto"/>
        <w:rPr>
          <w:rFonts w:ascii="Calibri" w:hAnsi="Calibri"/>
          <w:i/>
          <w:szCs w:val="24"/>
          <w:lang w:eastAsia="en-US"/>
        </w:rPr>
      </w:pPr>
      <w:r w:rsidRPr="008343E1">
        <w:rPr>
          <w:rFonts w:ascii="Calibri" w:hAnsi="Calibri"/>
          <w:i/>
          <w:szCs w:val="24"/>
          <w:lang w:eastAsia="en-US"/>
        </w:rPr>
        <w:t>What is automatic in T-1?</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Relatedly, De Neys </w:t>
      </w:r>
      <w:r w:rsidR="00A348ED" w:rsidRPr="008343E1">
        <w:rPr>
          <w:rFonts w:ascii="Calibri" w:hAnsi="Calibri"/>
          <w:szCs w:val="24"/>
          <w:lang w:eastAsia="en-US"/>
        </w:rPr>
        <w:t>[</w:t>
      </w:r>
      <w:r w:rsidRPr="008343E1">
        <w:rPr>
          <w:rFonts w:ascii="Calibri" w:hAnsi="Calibri"/>
          <w:szCs w:val="24"/>
          <w:lang w:eastAsia="en-US"/>
        </w:rPr>
        <w:t>(2006a)</w:t>
      </w:r>
      <w:r w:rsidR="00A348ED" w:rsidRPr="008343E1">
        <w:rPr>
          <w:rFonts w:ascii="Calibri" w:hAnsi="Calibri"/>
          <w:szCs w:val="24"/>
          <w:lang w:eastAsia="en-US"/>
        </w:rPr>
        <w:t>]</w:t>
      </w:r>
      <w:r w:rsidRPr="008343E1">
        <w:rPr>
          <w:rFonts w:ascii="Calibri" w:hAnsi="Calibri"/>
          <w:szCs w:val="24"/>
          <w:lang w:eastAsia="en-US"/>
        </w:rPr>
        <w:t xml:space="preserve"> also recorded judgment times of responses to the conjunction fallacy (Linda problem). Typically in the DPTs literature, T-1 processes are thought to generate erroneous responses, given that the information presented in the description of the task automatically triggers prior knowledge. In turn, prior beliefs are deployed while making judgments about the likelihood of various statements (e.g. whether Linda is a bank teller and active in the feminist movement), that conflict with the correct response (according to classical probability theory). </w:t>
      </w:r>
    </w:p>
    <w:p w:rsidR="000708F8" w:rsidRPr="008343E1" w:rsidRDefault="000708F8" w:rsidP="00C735CD">
      <w:pPr>
        <w:widowControl w:val="0"/>
        <w:autoSpaceDE w:val="0"/>
        <w:autoSpaceDN w:val="0"/>
        <w:adjustRightInd w:val="0"/>
        <w:spacing w:after="200" w:line="276" w:lineRule="auto"/>
        <w:rPr>
          <w:rFonts w:ascii="Calibri" w:hAnsi="Calibri"/>
          <w:i/>
          <w:szCs w:val="24"/>
          <w:lang w:eastAsia="en-US"/>
        </w:rPr>
      </w:pPr>
      <w:r w:rsidRPr="008343E1">
        <w:rPr>
          <w:rFonts w:ascii="Calibri" w:hAnsi="Calibri"/>
          <w:szCs w:val="24"/>
          <w:lang w:eastAsia="en-US"/>
        </w:rPr>
        <w:t xml:space="preserve">De Neys reports that it took participants approximately 47sec. (excluding time spent on reading the instructions) to make the erroneous judgments, and approximately 57sec. to make the correct judgments. Despite that generation of correct responses is, on average, longer than erroneous responses, again 47sec. seems overly long for an automatic process. Recall that participants spent, on average, 19sec. to generate the accurate response in deontic selections tasks. Recall also that reasoning in deontic tasks (as well as the erroneous responses in tasks like the Linda problem) is allegedly generated by T-1 process. Thus, it seems that the speed of T-1 processes can either vary significantly from task to task (47sec. vs. 19sec.), which is certainly not a characteristic of an autonomic process, or that automaticity and speed of response is a task-relative measurement. </w:t>
      </w:r>
    </w:p>
    <w:p w:rsidR="000708F8" w:rsidRPr="008343E1" w:rsidRDefault="000708F8" w:rsidP="00C735CD">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lang w:eastAsia="en-US"/>
        </w:rPr>
        <w:t xml:space="preserve">Having the above evidence and criticisms against DPTs in place, as well as </w:t>
      </w:r>
      <w:r w:rsidRPr="008343E1">
        <w:rPr>
          <w:rFonts w:ascii="Calibri" w:hAnsi="Calibri"/>
          <w:szCs w:val="24"/>
        </w:rPr>
        <w:t xml:space="preserve">Osman’s </w:t>
      </w:r>
      <w:r w:rsidR="004E4008" w:rsidRPr="008343E1">
        <w:rPr>
          <w:rFonts w:ascii="Calibri" w:hAnsi="Calibri"/>
          <w:szCs w:val="24"/>
        </w:rPr>
        <w:t>[</w:t>
      </w:r>
      <w:r w:rsidRPr="008343E1">
        <w:rPr>
          <w:rFonts w:ascii="Calibri" w:hAnsi="Calibri"/>
          <w:szCs w:val="24"/>
        </w:rPr>
        <w:t>(2004; 2013)</w:t>
      </w:r>
      <w:r w:rsidR="00491196" w:rsidRPr="008343E1">
        <w:rPr>
          <w:rFonts w:ascii="Calibri" w:hAnsi="Calibri"/>
          <w:szCs w:val="24"/>
        </w:rPr>
        <w:t>]</w:t>
      </w:r>
      <w:r w:rsidRPr="008343E1">
        <w:rPr>
          <w:rFonts w:ascii="Calibri" w:hAnsi="Calibri"/>
          <w:szCs w:val="24"/>
        </w:rPr>
        <w:t xml:space="preserve"> suggestions</w:t>
      </w:r>
      <w:r w:rsidRPr="008343E1">
        <w:rPr>
          <w:rFonts w:ascii="Calibri" w:hAnsi="Calibri"/>
          <w:szCs w:val="24"/>
          <w:lang w:eastAsia="en-US"/>
        </w:rPr>
        <w:t xml:space="preserve"> as a background setting, we move on to flesh out a philosophical account of how </w:t>
      </w:r>
      <w:r w:rsidRPr="008343E1">
        <w:rPr>
          <w:rFonts w:ascii="Calibri" w:hAnsi="Calibri"/>
          <w:szCs w:val="24"/>
        </w:rPr>
        <w:t xml:space="preserve">a unitary system operates. </w:t>
      </w:r>
      <w:r w:rsidRPr="008343E1">
        <w:rPr>
          <w:rFonts w:ascii="Calibri" w:hAnsi="Calibri" w:cs="Calibri"/>
          <w:szCs w:val="24"/>
          <w:lang w:val="en-US"/>
        </w:rPr>
        <w:t xml:space="preserve">In what follows, we put forth a suggestion in the form of the </w:t>
      </w:r>
      <w:r w:rsidRPr="008343E1">
        <w:rPr>
          <w:rFonts w:ascii="Calibri" w:hAnsi="Calibri" w:cs="Calibri"/>
          <w:szCs w:val="24"/>
        </w:rPr>
        <w:t xml:space="preserve">Representational Sub-activation Thesis (RSA), according to which </w:t>
      </w:r>
      <w:r w:rsidRPr="008343E1">
        <w:rPr>
          <w:rFonts w:ascii="Calibri" w:hAnsi="Calibri"/>
          <w:color w:val="333333"/>
          <w:szCs w:val="24"/>
          <w:lang w:eastAsia="en-US"/>
        </w:rPr>
        <w:t>i</w:t>
      </w:r>
      <w:r w:rsidRPr="008343E1">
        <w:rPr>
          <w:rFonts w:ascii="Calibri" w:hAnsi="Calibri" w:cs="Calibri"/>
          <w:szCs w:val="24"/>
        </w:rPr>
        <w:t>ntuitions (or T-1 processes) are sub-activated representations, which are in turn influenced by the weightings of the connections holding between different representations. These structures of representations are associatively conditioned, they are largely network-like, and linked with other mental states such as beliefs and emotional states. Unlike DPTs, we argue that biases can be explained by appealing to the role of attention in thinking processes. As such, we suggest that the RSA framework both illuminates and provides explanation of reasoning and bias that may also deal with the extant problems facing DPTs.</w:t>
      </w:r>
      <w:r w:rsidRPr="008343E1">
        <w:rPr>
          <w:rFonts w:ascii="Calibri" w:hAnsi="Calibri"/>
          <w:szCs w:val="24"/>
        </w:rPr>
        <w:t xml:space="preserve"> In this sense, we show that the suggested approach (RSA) accommodates the above evidence and explain the various ways in which it departs from DPTs. </w:t>
      </w:r>
    </w:p>
    <w:p w:rsidR="000708F8" w:rsidRPr="008343E1" w:rsidRDefault="000708F8" w:rsidP="00C735CD">
      <w:pPr>
        <w:widowControl w:val="0"/>
        <w:autoSpaceDE w:val="0"/>
        <w:autoSpaceDN w:val="0"/>
        <w:adjustRightInd w:val="0"/>
        <w:spacing w:after="200" w:line="276" w:lineRule="auto"/>
        <w:rPr>
          <w:rFonts w:ascii="Calibri" w:hAnsi="Calibri"/>
          <w:b/>
          <w:szCs w:val="24"/>
          <w:lang w:eastAsia="en-US"/>
        </w:rPr>
      </w:pPr>
    </w:p>
    <w:p w:rsidR="000708F8" w:rsidRPr="008343E1" w:rsidRDefault="000708F8" w:rsidP="00C735CD">
      <w:pPr>
        <w:widowControl w:val="0"/>
        <w:autoSpaceDE w:val="0"/>
        <w:autoSpaceDN w:val="0"/>
        <w:adjustRightInd w:val="0"/>
        <w:spacing w:after="200" w:line="276" w:lineRule="auto"/>
        <w:rPr>
          <w:rFonts w:ascii="Calibri" w:hAnsi="Calibri"/>
          <w:b/>
          <w:szCs w:val="24"/>
          <w:lang w:eastAsia="en-US"/>
        </w:rPr>
      </w:pPr>
      <w:r w:rsidRPr="008343E1">
        <w:rPr>
          <w:rFonts w:ascii="Calibri" w:hAnsi="Calibri"/>
          <w:b/>
          <w:szCs w:val="24"/>
          <w:lang w:eastAsia="en-US"/>
        </w:rPr>
        <w:t>2. RSA as a Unitary System</w:t>
      </w:r>
    </w:p>
    <w:p w:rsidR="000708F8" w:rsidRPr="008343E1" w:rsidRDefault="000708F8" w:rsidP="00C735CD">
      <w:pPr>
        <w:widowControl w:val="0"/>
        <w:autoSpaceDE w:val="0"/>
        <w:autoSpaceDN w:val="0"/>
        <w:adjustRightInd w:val="0"/>
        <w:spacing w:after="200" w:line="276" w:lineRule="auto"/>
        <w:rPr>
          <w:rFonts w:ascii="Calibri" w:hAnsi="Calibri"/>
          <w:szCs w:val="24"/>
        </w:rPr>
      </w:pPr>
      <w:r w:rsidRPr="008343E1">
        <w:rPr>
          <w:rFonts w:ascii="Calibri" w:hAnsi="Calibri"/>
          <w:szCs w:val="24"/>
        </w:rPr>
        <w:t>In presenting our philosophical account of how a unitary cognitive system operates, we suggest that intuitions (or T-1 processes) are sub-activated representations</w:t>
      </w:r>
      <w:proofErr w:type="gramStart"/>
      <w:r w:rsidRPr="008343E1">
        <w:rPr>
          <w:rFonts w:ascii="Calibri" w:hAnsi="Calibri"/>
          <w:szCs w:val="24"/>
        </w:rPr>
        <w:t>;</w:t>
      </w:r>
      <w:proofErr w:type="gramEnd"/>
      <w:r w:rsidRPr="008343E1">
        <w:rPr>
          <w:rFonts w:ascii="Calibri" w:hAnsi="Calibri"/>
          <w:szCs w:val="24"/>
        </w:rPr>
        <w:t xml:space="preserve"> the stronger the associations between a given set of representations, the stronger the appropriate intuitive pull. Furthermore, we argue that we can understand biases by appealing to the role of attention in thinking. More specifically, selectively attending to different aspects of a perceived stimulus, e.g. an invalid syllogism (see also §3.2 below), inevitably engages different cognitive strategies. Crucially, selective attention is driven by sub-activated stored representations in a top-down manner. The suggested view of a unitary cognitive system avoids the challenges that DPTs face. </w:t>
      </w:r>
    </w:p>
    <w:p w:rsidR="000708F8" w:rsidRPr="008343E1" w:rsidRDefault="000708F8" w:rsidP="00C735CD">
      <w:pPr>
        <w:spacing w:after="200" w:line="276" w:lineRule="auto"/>
        <w:rPr>
          <w:rFonts w:ascii="Calibri" w:hAnsi="Calibri"/>
          <w:szCs w:val="24"/>
        </w:rPr>
      </w:pPr>
    </w:p>
    <w:p w:rsidR="000708F8" w:rsidRPr="008343E1" w:rsidRDefault="000708F8" w:rsidP="00C735CD">
      <w:pPr>
        <w:spacing w:after="200" w:line="276" w:lineRule="auto"/>
        <w:rPr>
          <w:rFonts w:ascii="Calibri" w:hAnsi="Calibri"/>
          <w:b/>
          <w:szCs w:val="24"/>
          <w:lang w:eastAsia="en-US"/>
        </w:rPr>
      </w:pPr>
      <w:r w:rsidRPr="008343E1">
        <w:rPr>
          <w:rFonts w:ascii="Calibri" w:hAnsi="Calibri"/>
          <w:b/>
          <w:szCs w:val="24"/>
          <w:lang w:eastAsia="en-US"/>
        </w:rPr>
        <w:t xml:space="preserve">2.1 On the Nature of Intuitions: </w:t>
      </w:r>
      <w:r w:rsidRPr="008343E1">
        <w:rPr>
          <w:rFonts w:ascii="Calibri" w:hAnsi="Calibri"/>
          <w:b/>
          <w:szCs w:val="24"/>
        </w:rPr>
        <w:t>Background Commitments</w:t>
      </w:r>
    </w:p>
    <w:p w:rsidR="000708F8" w:rsidRPr="008343E1" w:rsidRDefault="000708F8" w:rsidP="00C735CD">
      <w:pPr>
        <w:spacing w:after="200" w:line="276" w:lineRule="auto"/>
        <w:rPr>
          <w:rFonts w:ascii="Calibri" w:hAnsi="Calibri"/>
          <w:szCs w:val="24"/>
          <w:lang w:eastAsia="en-US"/>
        </w:rPr>
      </w:pPr>
      <w:r w:rsidRPr="008343E1">
        <w:rPr>
          <w:rFonts w:ascii="Calibri" w:hAnsi="Calibri"/>
          <w:szCs w:val="24"/>
        </w:rPr>
        <w:t xml:space="preserve">In fleshing out </w:t>
      </w:r>
      <w:r w:rsidRPr="008343E1">
        <w:rPr>
          <w:rFonts w:ascii="Calibri" w:hAnsi="Calibri"/>
          <w:szCs w:val="24"/>
          <w:lang w:eastAsia="en-US"/>
        </w:rPr>
        <w:t>our view about the nature of intuitions, we appeal to a rather weak version of representationalism. We simply argue that we form perceptual representations through experiences with the world, and that these representations are stored in our minds. Also, we are committed to a view of concepts as structured entities built out of perceptual representations.</w:t>
      </w:r>
      <w:r w:rsidRPr="008343E1">
        <w:rPr>
          <w:rStyle w:val="EndnoteReference"/>
          <w:rFonts w:ascii="Calibri" w:hAnsi="Calibri"/>
          <w:szCs w:val="24"/>
          <w:lang w:eastAsia="en-US"/>
        </w:rPr>
        <w:endnoteReference w:id="10"/>
      </w:r>
      <w:r w:rsidRPr="008343E1">
        <w:rPr>
          <w:rFonts w:ascii="Calibri" w:hAnsi="Calibri"/>
          <w:szCs w:val="24"/>
          <w:lang w:eastAsia="en-US"/>
        </w:rPr>
        <w:t xml:space="preserve"> </w:t>
      </w:r>
    </w:p>
    <w:p w:rsidR="000708F8" w:rsidRPr="008343E1" w:rsidRDefault="000708F8" w:rsidP="00C53B6A">
      <w:pPr>
        <w:spacing w:line="276" w:lineRule="auto"/>
        <w:rPr>
          <w:rFonts w:ascii="Calibri" w:hAnsi="Calibri"/>
          <w:lang w:eastAsia="en-US"/>
        </w:rPr>
      </w:pPr>
      <w:r w:rsidRPr="008343E1">
        <w:rPr>
          <w:rFonts w:ascii="Calibri" w:hAnsi="Calibri"/>
          <w:lang w:eastAsia="en-US"/>
        </w:rPr>
        <w:t xml:space="preserve">It is worth clarifying at this point that the suggested view builds upon an empirically vindicated version of Neo-Empiricism, (e.g. </w:t>
      </w:r>
      <w:r w:rsidR="002D7732" w:rsidRPr="008343E1">
        <w:rPr>
          <w:rFonts w:ascii="Calibri" w:hAnsi="Calibri"/>
          <w:lang w:eastAsia="en-US"/>
        </w:rPr>
        <w:t>[</w:t>
      </w:r>
      <w:r w:rsidRPr="008343E1">
        <w:rPr>
          <w:rFonts w:ascii="Calibri" w:hAnsi="Calibri"/>
          <w:lang w:eastAsia="en-US"/>
        </w:rPr>
        <w:t xml:space="preserve">Prinz </w:t>
      </w:r>
      <w:r w:rsidR="002D7732" w:rsidRPr="008343E1">
        <w:rPr>
          <w:rFonts w:ascii="Calibri" w:hAnsi="Calibri"/>
          <w:lang w:eastAsia="en-US"/>
        </w:rPr>
        <w:t>(</w:t>
      </w:r>
      <w:r w:rsidRPr="008343E1">
        <w:rPr>
          <w:rFonts w:ascii="Calibri" w:hAnsi="Calibri"/>
          <w:lang w:eastAsia="en-US"/>
        </w:rPr>
        <w:t>2002</w:t>
      </w:r>
      <w:r w:rsidR="002D7732" w:rsidRPr="008343E1">
        <w:rPr>
          <w:rFonts w:ascii="Calibri" w:hAnsi="Calibri"/>
          <w:lang w:eastAsia="en-US"/>
        </w:rPr>
        <w:t>)</w:t>
      </w:r>
      <w:r w:rsidRPr="008343E1">
        <w:rPr>
          <w:rFonts w:ascii="Calibri" w:hAnsi="Calibri"/>
          <w:lang w:eastAsia="en-US"/>
        </w:rPr>
        <w:t xml:space="preserve">; Barsalou </w:t>
      </w:r>
      <w:r w:rsidR="002D7732" w:rsidRPr="008343E1">
        <w:rPr>
          <w:rFonts w:ascii="Calibri" w:hAnsi="Calibri"/>
          <w:lang w:eastAsia="en-US"/>
        </w:rPr>
        <w:t>(</w:t>
      </w:r>
      <w:r w:rsidRPr="008343E1">
        <w:rPr>
          <w:rFonts w:ascii="Calibri" w:hAnsi="Calibri"/>
          <w:lang w:eastAsia="en-US"/>
        </w:rPr>
        <w:t>1999)</w:t>
      </w:r>
      <w:r w:rsidR="002D7732" w:rsidRPr="008343E1">
        <w:rPr>
          <w:rFonts w:ascii="Calibri" w:hAnsi="Calibri"/>
          <w:lang w:eastAsia="en-US"/>
        </w:rPr>
        <w:t>]</w:t>
      </w:r>
      <w:r w:rsidR="00751B44" w:rsidRPr="008343E1">
        <w:rPr>
          <w:rFonts w:ascii="Calibri" w:hAnsi="Calibri"/>
          <w:lang w:eastAsia="en-US"/>
        </w:rPr>
        <w:t>)</w:t>
      </w:r>
      <w:r w:rsidRPr="008343E1">
        <w:rPr>
          <w:rFonts w:ascii="Calibri" w:hAnsi="Calibri"/>
          <w:lang w:eastAsia="en-US"/>
        </w:rPr>
        <w:t xml:space="preserve">, and departs from traditional Empiricist accounts of concept learning. We have developed a detailed Empiricist account of concept acquisition elsewhere </w:t>
      </w:r>
      <w:r w:rsidR="003A0A22" w:rsidRPr="008343E1">
        <w:rPr>
          <w:rFonts w:ascii="Calibri" w:hAnsi="Calibri"/>
          <w:lang w:eastAsia="en-US"/>
        </w:rPr>
        <w:t>[(Tillas</w:t>
      </w:r>
      <w:r w:rsidR="00132834" w:rsidRPr="008343E1">
        <w:rPr>
          <w:rFonts w:ascii="Calibri" w:hAnsi="Calibri"/>
          <w:lang w:eastAsia="en-US"/>
        </w:rPr>
        <w:t xml:space="preserve"> </w:t>
      </w:r>
      <w:r w:rsidR="003A0A22" w:rsidRPr="008343E1">
        <w:rPr>
          <w:rFonts w:ascii="Calibri" w:hAnsi="Calibri"/>
          <w:lang w:eastAsia="en-US"/>
        </w:rPr>
        <w:t>(</w:t>
      </w:r>
      <w:r w:rsidRPr="008343E1">
        <w:rPr>
          <w:rFonts w:ascii="Calibri" w:hAnsi="Calibri"/>
          <w:lang w:eastAsia="en-US"/>
        </w:rPr>
        <w:t>2010</w:t>
      </w:r>
      <w:r w:rsidR="003A0A22" w:rsidRPr="008343E1">
        <w:rPr>
          <w:rFonts w:ascii="Calibri" w:hAnsi="Calibri"/>
          <w:lang w:eastAsia="en-US"/>
        </w:rPr>
        <w:t>)</w:t>
      </w:r>
      <w:r w:rsidRPr="008343E1">
        <w:rPr>
          <w:rFonts w:ascii="Calibri" w:hAnsi="Calibri"/>
          <w:lang w:eastAsia="en-US"/>
        </w:rPr>
        <w:t xml:space="preserve">; </w:t>
      </w:r>
      <w:r w:rsidR="003A0A22" w:rsidRPr="008343E1">
        <w:rPr>
          <w:rFonts w:ascii="Calibri" w:hAnsi="Calibri"/>
          <w:lang w:eastAsia="en-US"/>
        </w:rPr>
        <w:t>(</w:t>
      </w:r>
      <w:r w:rsidR="00AA7A1D" w:rsidRPr="008343E1">
        <w:rPr>
          <w:rFonts w:ascii="Calibri" w:hAnsi="Calibri"/>
          <w:lang w:eastAsia="en-US"/>
        </w:rPr>
        <w:t xml:space="preserve">forthcoming </w:t>
      </w:r>
      <w:r w:rsidRPr="008343E1">
        <w:rPr>
          <w:rFonts w:ascii="Calibri" w:hAnsi="Calibri"/>
          <w:lang w:eastAsia="en-US"/>
        </w:rPr>
        <w:t>201</w:t>
      </w:r>
      <w:r w:rsidR="00AA7A1D" w:rsidRPr="008343E1">
        <w:rPr>
          <w:rFonts w:ascii="Calibri" w:hAnsi="Calibri"/>
          <w:lang w:eastAsia="en-US"/>
        </w:rPr>
        <w:t>5</w:t>
      </w:r>
      <w:r w:rsidRPr="008343E1">
        <w:rPr>
          <w:rFonts w:ascii="Calibri" w:hAnsi="Calibri"/>
          <w:lang w:eastAsia="en-US"/>
        </w:rPr>
        <w:t>a)</w:t>
      </w:r>
      <w:r w:rsidR="003A0A22" w:rsidRPr="008343E1">
        <w:rPr>
          <w:rFonts w:ascii="Calibri" w:hAnsi="Calibri"/>
          <w:lang w:eastAsia="en-US"/>
        </w:rPr>
        <w:t>]</w:t>
      </w:r>
      <w:r w:rsidRPr="008343E1">
        <w:rPr>
          <w:rFonts w:ascii="Calibri" w:hAnsi="Calibri"/>
          <w:lang w:eastAsia="en-US"/>
        </w:rPr>
        <w:t xml:space="preserve">, where we explain how different kinds of concepts, including concepts with heterogeneous instances like </w:t>
      </w:r>
      <w:r w:rsidRPr="008343E1">
        <w:rPr>
          <w:rFonts w:ascii="Calibri" w:hAnsi="Calibri"/>
          <w:smallCaps/>
          <w:lang w:eastAsia="en-US"/>
        </w:rPr>
        <w:t>danger</w:t>
      </w:r>
      <w:r w:rsidRPr="008343E1">
        <w:rPr>
          <w:rFonts w:ascii="Calibri" w:hAnsi="Calibri"/>
          <w:lang w:eastAsia="en-US"/>
        </w:rPr>
        <w:t xml:space="preserve">; </w:t>
      </w:r>
      <w:r w:rsidRPr="008343E1">
        <w:rPr>
          <w:rFonts w:ascii="Calibri" w:hAnsi="Calibri"/>
          <w:smallCaps/>
          <w:lang w:eastAsia="en-US"/>
        </w:rPr>
        <w:t>fuel</w:t>
      </w:r>
      <w:r w:rsidRPr="008343E1">
        <w:rPr>
          <w:rFonts w:ascii="Calibri" w:hAnsi="Calibri"/>
          <w:lang w:eastAsia="en-US"/>
        </w:rPr>
        <w:t xml:space="preserve"> and </w:t>
      </w:r>
      <w:r w:rsidRPr="008343E1">
        <w:rPr>
          <w:rFonts w:ascii="Calibri" w:hAnsi="Calibri"/>
          <w:smallCaps/>
          <w:lang w:eastAsia="en-US"/>
        </w:rPr>
        <w:t>food</w:t>
      </w:r>
      <w:r w:rsidRPr="008343E1">
        <w:rPr>
          <w:rFonts w:ascii="Calibri" w:hAnsi="Calibri"/>
          <w:lang w:eastAsia="en-US"/>
        </w:rPr>
        <w:t xml:space="preserve">, as well as abstract or lofty concepts like </w:t>
      </w:r>
      <w:r w:rsidRPr="008343E1">
        <w:rPr>
          <w:rFonts w:ascii="Calibri" w:hAnsi="Calibri"/>
          <w:smallCaps/>
          <w:lang w:eastAsia="en-US"/>
        </w:rPr>
        <w:t>democracy</w:t>
      </w:r>
      <w:r w:rsidRPr="008343E1">
        <w:rPr>
          <w:rFonts w:ascii="Calibri" w:hAnsi="Calibri"/>
          <w:lang w:eastAsia="en-US"/>
        </w:rPr>
        <w:t xml:space="preserve"> and </w:t>
      </w:r>
      <w:r w:rsidRPr="008343E1">
        <w:rPr>
          <w:rFonts w:ascii="Calibri" w:hAnsi="Calibri"/>
          <w:smallCaps/>
          <w:lang w:eastAsia="en-US"/>
        </w:rPr>
        <w:t>justice,</w:t>
      </w:r>
      <w:r w:rsidRPr="008343E1">
        <w:rPr>
          <w:rFonts w:ascii="Calibri" w:hAnsi="Calibri"/>
          <w:lang w:eastAsia="en-US"/>
        </w:rPr>
        <w:t xml:space="preserve"> could derive from perceptual experiences. These kinds of concepts have been notoriously hard to account for in terms of traditional Empiricists accounts.</w:t>
      </w:r>
      <w:r w:rsidRPr="008343E1">
        <w:rPr>
          <w:rStyle w:val="EndnoteReference"/>
          <w:rFonts w:ascii="Calibri" w:hAnsi="Calibri"/>
          <w:lang w:eastAsia="en-US"/>
        </w:rPr>
        <w:endnoteReference w:id="11"/>
      </w:r>
      <w:r w:rsidRPr="008343E1">
        <w:rPr>
          <w:rFonts w:ascii="Calibri" w:hAnsi="Calibri"/>
          <w:lang w:eastAsia="en-US"/>
        </w:rPr>
        <w:t xml:space="preserve"> The key point here is that all concepts are linked back to experience temporarily, but they do so </w:t>
      </w:r>
      <w:r w:rsidRPr="008343E1">
        <w:rPr>
          <w:rFonts w:ascii="Calibri" w:hAnsi="Calibri"/>
          <w:i/>
          <w:lang w:eastAsia="en-US"/>
        </w:rPr>
        <w:t>indirectly</w:t>
      </w:r>
      <w:r w:rsidRPr="008343E1">
        <w:rPr>
          <w:rFonts w:ascii="Calibri" w:hAnsi="Calibri"/>
          <w:lang w:eastAsia="en-US"/>
        </w:rPr>
        <w:t>.</w:t>
      </w:r>
      <w:r w:rsidRPr="008343E1">
        <w:rPr>
          <w:rStyle w:val="EndnoteReference"/>
          <w:rFonts w:ascii="Calibri" w:hAnsi="Calibri"/>
          <w:lang w:eastAsia="en-US"/>
        </w:rPr>
        <w:endnoteReference w:id="12"/>
      </w:r>
      <w:r w:rsidRPr="008343E1">
        <w:rPr>
          <w:rFonts w:ascii="Calibri" w:hAnsi="Calibri"/>
          <w:lang w:eastAsia="en-US"/>
        </w:rPr>
        <w:t xml:space="preserve"> In this sense, the causal relation between mind and world is a fairly sophisticated one. For our present purposes it suffices to stress that in the light of perceptual experiences with instances of a given kind, the connection weightings of neuronal groups that ground or underlie these experiences are adjusted. At this point we appeal to the ubiquitously accepted principles of Hebbian learning (see below). Hebb’s </w:t>
      </w:r>
      <w:r w:rsidR="00BD78BB" w:rsidRPr="008343E1">
        <w:rPr>
          <w:rFonts w:ascii="Calibri" w:hAnsi="Calibri"/>
          <w:lang w:eastAsia="en-US"/>
        </w:rPr>
        <w:t>[</w:t>
      </w:r>
      <w:r w:rsidRPr="008343E1">
        <w:rPr>
          <w:rFonts w:ascii="Calibri" w:hAnsi="Calibri"/>
          <w:lang w:eastAsia="en-US"/>
        </w:rPr>
        <w:t>(1949)</w:t>
      </w:r>
      <w:r w:rsidR="00BD78BB" w:rsidRPr="008343E1">
        <w:rPr>
          <w:rFonts w:ascii="Calibri" w:hAnsi="Calibri"/>
          <w:lang w:eastAsia="en-US"/>
        </w:rPr>
        <w:t>]</w:t>
      </w:r>
      <w:r w:rsidRPr="008343E1">
        <w:rPr>
          <w:rFonts w:ascii="Calibri" w:hAnsi="Calibri"/>
          <w:lang w:eastAsia="en-US"/>
        </w:rPr>
        <w:t xml:space="preserve"> rule of learning is vindicated by contemporary evidence for Long Term Potentiation (LTP).</w:t>
      </w:r>
      <w:r w:rsidRPr="008343E1">
        <w:rPr>
          <w:rFonts w:ascii="Calibri" w:hAnsi="Calibri"/>
          <w:vertAlign w:val="superscript"/>
          <w:lang w:eastAsia="en-US"/>
        </w:rPr>
        <w:endnoteReference w:id="13"/>
      </w:r>
      <w:r w:rsidRPr="008343E1">
        <w:rPr>
          <w:rFonts w:ascii="Calibri" w:hAnsi="Calibri"/>
          <w:lang w:eastAsia="en-US"/>
        </w:rPr>
        <w:t xml:space="preserve"> Having this empirically vindicated empiricist view as a starting point, we suggest a view that avoids the pitfalls of traditional views while maintaining the perceptual priority thesis according to which everything that is in the intellect is first in the senses. </w:t>
      </w:r>
    </w:p>
    <w:p w:rsidR="000708F8" w:rsidRPr="008343E1" w:rsidRDefault="000708F8" w:rsidP="00252959">
      <w:pPr>
        <w:rPr>
          <w:rFonts w:ascii="Calibri" w:hAnsi="Calibri"/>
          <w:lang w:eastAsia="en-US"/>
        </w:rPr>
      </w:pPr>
    </w:p>
    <w:p w:rsidR="000708F8" w:rsidRPr="008343E1" w:rsidRDefault="000708F8" w:rsidP="00C735CD">
      <w:pPr>
        <w:spacing w:after="200" w:line="276" w:lineRule="auto"/>
        <w:rPr>
          <w:rFonts w:ascii="Calibri" w:hAnsi="Calibri"/>
          <w:szCs w:val="24"/>
          <w:lang w:eastAsia="en-US"/>
        </w:rPr>
      </w:pPr>
      <w:r w:rsidRPr="008343E1">
        <w:rPr>
          <w:rFonts w:ascii="Calibri" w:hAnsi="Calibri"/>
          <w:szCs w:val="24"/>
          <w:lang w:eastAsia="en-US"/>
        </w:rPr>
        <w:t xml:space="preserve">Admittedly, many views hold that concepts are (or are tokened by) mental symbols; for the most part, our suggestions can be reformulated in those terms, </w:t>
      </w:r>
      <w:r w:rsidRPr="008343E1">
        <w:rPr>
          <w:rFonts w:ascii="Calibri" w:hAnsi="Calibri"/>
        </w:rPr>
        <w:t>so long as such views can deal with the idea that mental symbols are connected with adjustable weightings.</w:t>
      </w:r>
    </w:p>
    <w:p w:rsidR="000708F8" w:rsidRPr="008343E1" w:rsidRDefault="000708F8" w:rsidP="00C735CD">
      <w:pPr>
        <w:spacing w:after="200" w:line="276" w:lineRule="auto"/>
        <w:rPr>
          <w:rFonts w:ascii="Calibri" w:hAnsi="Calibri"/>
          <w:szCs w:val="24"/>
          <w:lang w:eastAsia="en-US"/>
        </w:rPr>
      </w:pPr>
      <w:r w:rsidRPr="008343E1">
        <w:rPr>
          <w:rFonts w:ascii="Calibri" w:hAnsi="Calibri"/>
          <w:szCs w:val="24"/>
          <w:lang w:eastAsia="en-US"/>
        </w:rPr>
        <w:t>Furthermore, we suggest a way in which concepts may be built from perceptual representations, and focus on the relations between these representations.</w:t>
      </w:r>
      <w:r w:rsidRPr="008343E1">
        <w:rPr>
          <w:rStyle w:val="EndnoteReference"/>
          <w:rFonts w:ascii="Calibri" w:hAnsi="Calibri"/>
          <w:szCs w:val="24"/>
          <w:lang w:eastAsia="en-US"/>
        </w:rPr>
        <w:endnoteReference w:id="14"/>
      </w:r>
      <w:r w:rsidRPr="008343E1">
        <w:rPr>
          <w:rFonts w:ascii="Calibri" w:hAnsi="Calibri"/>
          <w:szCs w:val="24"/>
          <w:lang w:eastAsia="en-US"/>
        </w:rPr>
        <w:t xml:space="preserve"> Finally we argue that the relations between different representations and concepts are weighted in certain ways, and that these weights constrain thinking. As such, intuitions can play a role similar to conscious thoughts in terms of how thinking is constrained.</w:t>
      </w:r>
    </w:p>
    <w:p w:rsidR="000708F8" w:rsidRPr="008343E1" w:rsidRDefault="000708F8" w:rsidP="00C735CD">
      <w:pPr>
        <w:pStyle w:val="Kleurrijkelijst-accent11"/>
        <w:ind w:left="0"/>
        <w:jc w:val="both"/>
        <w:rPr>
          <w:sz w:val="24"/>
          <w:szCs w:val="24"/>
        </w:rPr>
      </w:pPr>
    </w:p>
    <w:p w:rsidR="000708F8" w:rsidRPr="008343E1" w:rsidRDefault="000708F8" w:rsidP="00C735CD">
      <w:pPr>
        <w:spacing w:after="200" w:line="276" w:lineRule="auto"/>
        <w:rPr>
          <w:rFonts w:ascii="Calibri" w:hAnsi="Calibri"/>
          <w:b/>
          <w:szCs w:val="24"/>
        </w:rPr>
      </w:pPr>
      <w:r w:rsidRPr="008343E1">
        <w:rPr>
          <w:rFonts w:ascii="Calibri" w:hAnsi="Calibri"/>
          <w:b/>
          <w:szCs w:val="24"/>
        </w:rPr>
        <w:t>2.2 Perceiving the World &amp; Building Networks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Recall our commitment that on perceiving a given object a representation </w:t>
      </w:r>
      <w:proofErr w:type="gramStart"/>
      <w:r w:rsidRPr="008343E1">
        <w:rPr>
          <w:rFonts w:ascii="Calibri" w:hAnsi="Calibri"/>
          <w:szCs w:val="24"/>
        </w:rPr>
        <w:t>is</w:t>
      </w:r>
      <w:proofErr w:type="gramEnd"/>
      <w:r w:rsidRPr="008343E1">
        <w:rPr>
          <w:rFonts w:ascii="Calibri" w:hAnsi="Calibri"/>
          <w:szCs w:val="24"/>
        </w:rPr>
        <w:t xml:space="preserve"> formed and stored in long-term memory. The precise locus for storing a given representation is influenced, and often determined by top-down effects from stored representations in the subject’s mind.</w:t>
      </w:r>
      <w:r w:rsidRPr="008343E1">
        <w:rPr>
          <w:rStyle w:val="EndnoteReference"/>
          <w:rFonts w:ascii="Calibri" w:hAnsi="Calibri"/>
          <w:szCs w:val="24"/>
        </w:rPr>
        <w:endnoteReference w:id="15"/>
      </w:r>
      <w:r w:rsidRPr="008343E1">
        <w:rPr>
          <w:rFonts w:ascii="Calibri" w:hAnsi="Calibri"/>
          <w:szCs w:val="24"/>
        </w:rPr>
        <w:t xml:space="preserve"> We have elaborated on this issue elsewhere </w:t>
      </w:r>
      <w:r w:rsidR="001135AC" w:rsidRPr="008343E1">
        <w:rPr>
          <w:rFonts w:ascii="Calibri" w:hAnsi="Calibri"/>
          <w:szCs w:val="24"/>
        </w:rPr>
        <w:t>[Tillas, (2014</w:t>
      </w:r>
      <w:r w:rsidR="00BE16F7" w:rsidRPr="008343E1">
        <w:rPr>
          <w:rFonts w:ascii="Calibri" w:hAnsi="Calibri"/>
          <w:szCs w:val="24"/>
        </w:rPr>
        <w:t>)</w:t>
      </w:r>
      <w:r w:rsidR="001135AC" w:rsidRPr="008343E1">
        <w:rPr>
          <w:rFonts w:ascii="Calibri" w:hAnsi="Calibri"/>
          <w:szCs w:val="24"/>
        </w:rPr>
        <w:t xml:space="preserve">; </w:t>
      </w:r>
      <w:r w:rsidR="00BE16F7" w:rsidRPr="008343E1">
        <w:rPr>
          <w:rFonts w:ascii="Calibri" w:hAnsi="Calibri"/>
          <w:szCs w:val="24"/>
        </w:rPr>
        <w:t>(</w:t>
      </w:r>
      <w:r w:rsidR="001135AC" w:rsidRPr="008343E1">
        <w:rPr>
          <w:rFonts w:ascii="Calibri" w:hAnsi="Calibri"/>
          <w:szCs w:val="24"/>
        </w:rPr>
        <w:t>forthcoming 2015b</w:t>
      </w:r>
      <w:r w:rsidR="00B22EAA" w:rsidRPr="008343E1">
        <w:rPr>
          <w:rFonts w:ascii="Calibri" w:hAnsi="Calibri"/>
          <w:szCs w:val="24"/>
        </w:rPr>
        <w:t>)]</w:t>
      </w:r>
      <w:r w:rsidR="002913FB" w:rsidRPr="008343E1">
        <w:rPr>
          <w:rFonts w:ascii="Calibri" w:hAnsi="Calibri"/>
          <w:szCs w:val="24"/>
        </w:rPr>
        <w:t>.</w:t>
      </w:r>
      <w:r w:rsidR="00B22EAA" w:rsidRPr="008343E1">
        <w:rPr>
          <w:rFonts w:ascii="Calibri" w:hAnsi="Calibri"/>
          <w:szCs w:val="24"/>
        </w:rPr>
        <w:t xml:space="preserve"> </w:t>
      </w:r>
      <w:r w:rsidRPr="008343E1">
        <w:rPr>
          <w:rFonts w:ascii="Calibri" w:hAnsi="Calibri"/>
          <w:szCs w:val="24"/>
        </w:rPr>
        <w:t xml:space="preserve">Briefly, on encounter with a subsequent instance that does get attended and recognized as a subsequent instance of a given kind, a representation is formed. At this point, a scanning process gets initiated and a match is </w:t>
      </w:r>
      <w:proofErr w:type="gramStart"/>
      <w:r w:rsidRPr="008343E1">
        <w:rPr>
          <w:rFonts w:ascii="Calibri" w:hAnsi="Calibri"/>
          <w:szCs w:val="24"/>
        </w:rPr>
        <w:t>sought</w:t>
      </w:r>
      <w:proofErr w:type="gramEnd"/>
      <w:r w:rsidRPr="008343E1">
        <w:rPr>
          <w:rFonts w:ascii="Calibri" w:hAnsi="Calibri"/>
          <w:szCs w:val="24"/>
        </w:rPr>
        <w:t xml:space="preserve"> for in the subject’s memory. The same process was also initiated during encounter with the first instance but the scan did not yield any matching stored representations.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The scanning process begins with highly demanding similarity level, which drops if a match is not found after a scan. If the similarity level drops below a certain point (after a certain number of scans), a new ‘mental file’, for the new category, is formed, (e.g. </w:t>
      </w:r>
      <w:r w:rsidR="008A087D" w:rsidRPr="008343E1">
        <w:rPr>
          <w:rFonts w:ascii="Calibri" w:hAnsi="Calibri"/>
          <w:szCs w:val="24"/>
        </w:rPr>
        <w:t>[</w:t>
      </w:r>
      <w:r w:rsidRPr="008343E1">
        <w:rPr>
          <w:rFonts w:ascii="Calibri" w:hAnsi="Calibri"/>
          <w:szCs w:val="24"/>
        </w:rPr>
        <w:t xml:space="preserve">Perry, </w:t>
      </w:r>
      <w:r w:rsidR="008A087D" w:rsidRPr="008343E1">
        <w:rPr>
          <w:rFonts w:ascii="Calibri" w:hAnsi="Calibri"/>
          <w:szCs w:val="24"/>
        </w:rPr>
        <w:t>(</w:t>
      </w:r>
      <w:r w:rsidRPr="008343E1">
        <w:rPr>
          <w:rFonts w:ascii="Calibri" w:hAnsi="Calibri"/>
          <w:szCs w:val="24"/>
        </w:rPr>
        <w:t>2001)</w:t>
      </w:r>
      <w:r w:rsidR="008A087D" w:rsidRPr="008343E1">
        <w:rPr>
          <w:rFonts w:ascii="Calibri" w:hAnsi="Calibri"/>
          <w:szCs w:val="24"/>
        </w:rPr>
        <w:t>]</w:t>
      </w:r>
      <w:r w:rsidR="00F676F4">
        <w:rPr>
          <w:rFonts w:ascii="Calibri" w:hAnsi="Calibri"/>
          <w:szCs w:val="24"/>
        </w:rPr>
        <w:t>)</w:t>
      </w:r>
      <w:r w:rsidRPr="008343E1">
        <w:rPr>
          <w:rFonts w:ascii="Calibri" w:hAnsi="Calibri"/>
          <w:szCs w:val="24"/>
        </w:rPr>
        <w:t xml:space="preserve">. The location of where a given representation will be stored is not only influenced by similarities with existing representations but also by contextual features as well as other known information about the current encounter.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Once a match between the currently formed and some/a stored </w:t>
      </w:r>
      <w:proofErr w:type="gramStart"/>
      <w:r w:rsidRPr="008343E1">
        <w:rPr>
          <w:rFonts w:ascii="Calibri" w:hAnsi="Calibri"/>
          <w:szCs w:val="24"/>
        </w:rPr>
        <w:t>representation</w:t>
      </w:r>
      <w:proofErr w:type="gramEnd"/>
      <w:r w:rsidRPr="008343E1">
        <w:rPr>
          <w:rFonts w:ascii="Calibri" w:hAnsi="Calibri"/>
          <w:szCs w:val="24"/>
        </w:rPr>
        <w:t>(s) is found, then the existing representation(s) are/is activated.</w:t>
      </w:r>
      <w:r w:rsidRPr="008343E1">
        <w:rPr>
          <w:rStyle w:val="EndnoteReference"/>
          <w:rFonts w:ascii="Calibri" w:hAnsi="Calibri"/>
          <w:szCs w:val="24"/>
        </w:rPr>
        <w:endnoteReference w:id="16"/>
      </w:r>
      <w:r w:rsidRPr="008343E1">
        <w:rPr>
          <w:rFonts w:ascii="Calibri" w:hAnsi="Calibri"/>
          <w:szCs w:val="24"/>
        </w:rPr>
        <w:t xml:space="preserve"> The activation of this representation leads to two things. First, stored representations lead perception in a top-down manner. For instance, if on perception of the first instance of a tree, a subject has formed a representation of the tree’s trunk, and a match with a stored representation is found, then selective attention will be driven to the rest of the tree parts (e.g. branches, leaves) that have been attended during the encounter with the initial instance. Second, activation of matching stored representations leads to storage of the currently formed representation at the same locus or ‘closer’ to stored matching representations.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A possibly useful way to construe the claim that representations are stored ‘closer’ together might be in terms of representations with stronger positive memory effects in cognitive tasks. This hypothesis builds on evidence showing that unlike bottom-up attention, i.e. attention captured by salient features, top-down attention enhances formation of representations of attended features/aspects/information e.g. </w:t>
      </w:r>
      <w:r w:rsidR="006B3D67" w:rsidRPr="008343E1">
        <w:rPr>
          <w:rFonts w:ascii="Calibri" w:hAnsi="Calibri"/>
          <w:szCs w:val="24"/>
        </w:rPr>
        <w:t>[</w:t>
      </w:r>
      <w:r w:rsidRPr="008343E1">
        <w:rPr>
          <w:rFonts w:ascii="Calibri" w:hAnsi="Calibri"/>
          <w:szCs w:val="24"/>
        </w:rPr>
        <w:t xml:space="preserve">Corbetta et al. </w:t>
      </w:r>
      <w:r w:rsidR="006B3D67" w:rsidRPr="008343E1">
        <w:rPr>
          <w:rFonts w:ascii="Calibri" w:hAnsi="Calibri"/>
          <w:szCs w:val="24"/>
        </w:rPr>
        <w:t>(</w:t>
      </w:r>
      <w:r w:rsidRPr="008343E1">
        <w:rPr>
          <w:rFonts w:ascii="Calibri" w:hAnsi="Calibri"/>
          <w:szCs w:val="24"/>
        </w:rPr>
        <w:t>1990</w:t>
      </w:r>
      <w:r w:rsidR="006B3D67" w:rsidRPr="008343E1">
        <w:rPr>
          <w:rFonts w:ascii="Calibri" w:hAnsi="Calibri"/>
          <w:szCs w:val="24"/>
        </w:rPr>
        <w:t>)</w:t>
      </w:r>
      <w:r w:rsidRPr="008343E1">
        <w:rPr>
          <w:rFonts w:ascii="Calibri" w:hAnsi="Calibri"/>
          <w:szCs w:val="24"/>
        </w:rPr>
        <w:t xml:space="preserve">; Noudoost et al. </w:t>
      </w:r>
      <w:r w:rsidR="006B3D67" w:rsidRPr="008343E1">
        <w:rPr>
          <w:rFonts w:ascii="Calibri" w:hAnsi="Calibri"/>
          <w:szCs w:val="24"/>
        </w:rPr>
        <w:t>(</w:t>
      </w:r>
      <w:r w:rsidRPr="008343E1">
        <w:rPr>
          <w:rFonts w:ascii="Calibri" w:hAnsi="Calibri"/>
          <w:szCs w:val="24"/>
        </w:rPr>
        <w:t>2010</w:t>
      </w:r>
      <w:r w:rsidR="006B3D67" w:rsidRPr="008343E1">
        <w:rPr>
          <w:rFonts w:ascii="Calibri" w:hAnsi="Calibri"/>
          <w:szCs w:val="24"/>
        </w:rPr>
        <w:t>)]</w:t>
      </w:r>
      <w:r w:rsidRPr="008343E1">
        <w:rPr>
          <w:rFonts w:ascii="Calibri" w:hAnsi="Calibri"/>
          <w:szCs w:val="24"/>
        </w:rPr>
        <w:t xml:space="preserve">, as well as on evidence showing that information attended through top-down attention will later on be relevant for memory formation </w:t>
      </w:r>
      <w:r w:rsidR="006B3D67" w:rsidRPr="008343E1">
        <w:rPr>
          <w:rFonts w:ascii="Calibri" w:hAnsi="Calibri"/>
          <w:szCs w:val="24"/>
        </w:rPr>
        <w:t>[</w:t>
      </w:r>
      <w:r w:rsidRPr="008343E1">
        <w:rPr>
          <w:rFonts w:ascii="Calibri" w:hAnsi="Calibri"/>
          <w:szCs w:val="24"/>
          <w:lang w:eastAsia="en-US"/>
        </w:rPr>
        <w:t xml:space="preserve">Uncapher et al. </w:t>
      </w:r>
      <w:r w:rsidR="006B3D67" w:rsidRPr="008343E1">
        <w:rPr>
          <w:rFonts w:ascii="Calibri" w:hAnsi="Calibri"/>
          <w:szCs w:val="24"/>
          <w:lang w:eastAsia="en-US"/>
        </w:rPr>
        <w:t>(</w:t>
      </w:r>
      <w:r w:rsidRPr="008343E1">
        <w:rPr>
          <w:rFonts w:ascii="Calibri" w:hAnsi="Calibri"/>
          <w:szCs w:val="24"/>
          <w:lang w:eastAsia="en-US"/>
        </w:rPr>
        <w:t>2011)</w:t>
      </w:r>
      <w:r w:rsidR="006B3D67" w:rsidRPr="008343E1">
        <w:rPr>
          <w:rFonts w:ascii="Calibri" w:hAnsi="Calibri"/>
          <w:szCs w:val="24"/>
          <w:lang w:eastAsia="en-US"/>
        </w:rPr>
        <w:t>]</w:t>
      </w:r>
      <w:r w:rsidRPr="008343E1">
        <w:rPr>
          <w:rFonts w:ascii="Calibri" w:hAnsi="Calibri"/>
          <w:szCs w:val="24"/>
          <w:lang w:eastAsia="en-US"/>
        </w:rPr>
        <w:t xml:space="preserve"> or</w:t>
      </w:r>
      <w:r w:rsidRPr="008343E1">
        <w:rPr>
          <w:rFonts w:ascii="Calibri" w:hAnsi="Calibri"/>
          <w:szCs w:val="24"/>
        </w:rPr>
        <w:t xml:space="preserve"> later remembering </w:t>
      </w:r>
      <w:r w:rsidR="006B3D67" w:rsidRPr="008343E1">
        <w:rPr>
          <w:rFonts w:ascii="Calibri" w:hAnsi="Calibri"/>
          <w:szCs w:val="24"/>
        </w:rPr>
        <w:t>[</w:t>
      </w:r>
      <w:r w:rsidRPr="008343E1">
        <w:rPr>
          <w:rFonts w:ascii="Calibri" w:hAnsi="Calibri"/>
          <w:szCs w:val="24"/>
        </w:rPr>
        <w:t xml:space="preserve">Craik et al. </w:t>
      </w:r>
      <w:r w:rsidR="006B3D67" w:rsidRPr="008343E1">
        <w:rPr>
          <w:rFonts w:ascii="Calibri" w:hAnsi="Calibri"/>
          <w:szCs w:val="24"/>
        </w:rPr>
        <w:t>(</w:t>
      </w:r>
      <w:r w:rsidRPr="008343E1">
        <w:rPr>
          <w:rFonts w:ascii="Calibri" w:hAnsi="Calibri"/>
          <w:szCs w:val="24"/>
        </w:rPr>
        <w:t>1996)</w:t>
      </w:r>
      <w:r w:rsidR="006B3D67" w:rsidRPr="008343E1">
        <w:rPr>
          <w:rFonts w:ascii="Calibri" w:hAnsi="Calibri"/>
          <w:szCs w:val="24"/>
        </w:rPr>
        <w:t>]</w:t>
      </w:r>
      <w:r w:rsidRPr="008343E1">
        <w:rPr>
          <w:rFonts w:ascii="Calibri" w:hAnsi="Calibri"/>
          <w:szCs w:val="24"/>
          <w:lang w:eastAsia="en-US"/>
        </w:rPr>
        <w:t>.</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It is worth clarifying that the cognitive system does not rely merely upon top-down effects of stored representations on perceptual processes. Had that been the case, the perceptual process would have been heavily influenced by accidents of the first encounter with a certain instance and miss out on certain statistical regularities. To this end, top-down influences have to be construed more liberally, in the sense that some non-overlapping information is allowed as a by-product of not being too skewed by the bias of the first encounter.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On encounter with subsequent instances of a given kind, a similar process will be initiated, and the appropriate mental-file will get informationally enriched. </w:t>
      </w:r>
    </w:p>
    <w:p w:rsidR="000708F8" w:rsidRPr="008343E1" w:rsidRDefault="000708F8" w:rsidP="008343E1">
      <w:pPr>
        <w:spacing w:after="200" w:line="276" w:lineRule="auto"/>
        <w:rPr>
          <w:rFonts w:ascii="Calibri" w:hAnsi="Calibri"/>
          <w:szCs w:val="24"/>
        </w:rPr>
      </w:pPr>
      <w:r w:rsidRPr="008343E1">
        <w:rPr>
          <w:rFonts w:ascii="Calibri" w:hAnsi="Calibri"/>
          <w:szCs w:val="24"/>
        </w:rPr>
        <w:t xml:space="preserve">Digressing slightly for a moment, given that the suggested views builds heavily upon the principles of associationism as well as top-down and bottom-up influences it naturally converges with what is known in the literature as ‘predictive coding’ (e.g. </w:t>
      </w:r>
      <w:r w:rsidR="00DF5DE6" w:rsidRPr="008343E1">
        <w:rPr>
          <w:rFonts w:ascii="Calibri" w:hAnsi="Calibri"/>
          <w:szCs w:val="24"/>
        </w:rPr>
        <w:t>[</w:t>
      </w:r>
      <w:r w:rsidRPr="008343E1">
        <w:rPr>
          <w:rFonts w:ascii="Calibri" w:hAnsi="Calibri"/>
          <w:szCs w:val="24"/>
        </w:rPr>
        <w:t>Clark (2013)</w:t>
      </w:r>
      <w:r w:rsidR="00DF5DE6" w:rsidRPr="008343E1">
        <w:rPr>
          <w:rFonts w:ascii="Calibri" w:hAnsi="Calibri"/>
          <w:szCs w:val="24"/>
        </w:rPr>
        <w:t>])</w:t>
      </w:r>
      <w:r w:rsidRPr="008343E1">
        <w:rPr>
          <w:rFonts w:ascii="Calibri" w:hAnsi="Calibri"/>
          <w:szCs w:val="24"/>
        </w:rPr>
        <w:t>. On that view, natural signals are highly redundant due to spatial and temporal uniformity. For instance, intensities of pixels tend to be correlated over time given that objects persist in time. Given these redundancies in natural signals, the suggestion is that representing a raw image directly in terms of the activity of a set of sensory receptors would be very inefficient. Thus, it is argued that early sensory processing aims at reducing such redundancies and recoding sensory inputs in more efficient ways. Predictive coding postulates that neural networks learn the statistical regularities inherent in external stimuli, and reduce redundancy by removing components of the input that are predictable. In turn, they will transmit residual errors in predict</w:t>
      </w:r>
      <w:r w:rsidR="00C53B6A">
        <w:rPr>
          <w:rFonts w:ascii="Calibri" w:hAnsi="Calibri"/>
          <w:szCs w:val="24"/>
        </w:rPr>
        <w:t>ion.</w:t>
      </w:r>
      <w:r w:rsidRPr="008343E1">
        <w:rPr>
          <w:rFonts w:ascii="Calibri" w:hAnsi="Calibri"/>
          <w:szCs w:val="24"/>
        </w:rPr>
        <w:t xml:space="preserve"> In the case of visual perception, for example, cells in early visual circuits convey not the raw image intensity, but the difference between the predicted value and actual intensity.</w:t>
      </w:r>
      <w:r w:rsidRPr="008343E1">
        <w:rPr>
          <w:rFonts w:ascii="Calibri" w:hAnsi="Calibri"/>
          <w:szCs w:val="24"/>
          <w:vertAlign w:val="superscript"/>
        </w:rPr>
        <w:endnoteReference w:id="17"/>
      </w:r>
      <w:r w:rsidRPr="008343E1">
        <w:rPr>
          <w:rFonts w:ascii="Calibri" w:hAnsi="Calibri"/>
          <w:szCs w:val="24"/>
        </w:rPr>
        <w:t xml:space="preserve"> From this brief exposition, it should be clear that even though predictive coding operates at a different level to the present view, it should also be clear that the present view is in line with predictive coding. For in the present view, connection-weighting calibration (which captures the dynamic character of representational networks as well as key aspects of thought production) is construed as governed by top-down and bottom-up influences as well as by the principles of associationism and statistical learning.</w:t>
      </w:r>
    </w:p>
    <w:p w:rsidR="000708F8" w:rsidRPr="008343E1" w:rsidRDefault="000708F8" w:rsidP="00C735CD">
      <w:pPr>
        <w:spacing w:after="200" w:line="276" w:lineRule="auto"/>
        <w:rPr>
          <w:rFonts w:ascii="Calibri" w:hAnsi="Calibri"/>
          <w:szCs w:val="24"/>
        </w:rPr>
      </w:pPr>
    </w:p>
    <w:p w:rsidR="000708F8" w:rsidRPr="008343E1" w:rsidRDefault="000708F8" w:rsidP="00C735CD">
      <w:pPr>
        <w:spacing w:after="200" w:line="276" w:lineRule="auto"/>
        <w:rPr>
          <w:rFonts w:ascii="Calibri" w:hAnsi="Calibri"/>
          <w:b/>
          <w:szCs w:val="24"/>
        </w:rPr>
      </w:pPr>
      <w:r w:rsidRPr="008343E1">
        <w:rPr>
          <w:rFonts w:ascii="Calibri" w:hAnsi="Calibri"/>
          <w:b/>
          <w:szCs w:val="24"/>
        </w:rPr>
        <w:t>2.3. Co-occurrence and Network Dynamics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In this section we focus on the relations between different representations, concepts and thinking. In doing so, we appeal to Hebb’s </w:t>
      </w:r>
      <w:r w:rsidR="00467D17" w:rsidRPr="008343E1">
        <w:rPr>
          <w:rFonts w:ascii="Calibri" w:hAnsi="Calibri"/>
          <w:szCs w:val="24"/>
        </w:rPr>
        <w:t>[</w:t>
      </w:r>
      <w:r w:rsidRPr="008343E1">
        <w:rPr>
          <w:rFonts w:ascii="Calibri" w:hAnsi="Calibri"/>
          <w:szCs w:val="24"/>
        </w:rPr>
        <w:t>(1949)</w:t>
      </w:r>
      <w:r w:rsidR="00467D17" w:rsidRPr="008343E1">
        <w:rPr>
          <w:rFonts w:ascii="Calibri" w:hAnsi="Calibri"/>
          <w:szCs w:val="24"/>
        </w:rPr>
        <w:t>]</w:t>
      </w:r>
      <w:r w:rsidRPr="008343E1">
        <w:rPr>
          <w:rFonts w:ascii="Calibri" w:hAnsi="Calibri"/>
          <w:szCs w:val="24"/>
        </w:rPr>
        <w:t xml:space="preserve"> famous hypothesis about the ways in which neurons are changed by experience in such a way that this change would have altering effects in behavior. The widely accepted Hebbian rule ‘cells that fire together, wire together’ is a type of correlational learning rule in which the temporal coincidence of pre- and post-synaptic activity results in a strengthening of that synapse.</w:t>
      </w:r>
      <w:r w:rsidRPr="008343E1">
        <w:rPr>
          <w:rStyle w:val="EndnoteReference"/>
          <w:rFonts w:ascii="Calibri" w:hAnsi="Calibri"/>
          <w:szCs w:val="24"/>
        </w:rPr>
        <w:t xml:space="preserve"> </w:t>
      </w:r>
      <w:r w:rsidRPr="008343E1">
        <w:rPr>
          <w:rFonts w:ascii="Calibri" w:hAnsi="Calibri"/>
          <w:szCs w:val="24"/>
        </w:rPr>
        <w:t xml:space="preserve">Thus, whenever two neurons get excited simultaneously, the connections between them get strengthened. According to Hebb, repeated participation of neuron </w:t>
      </w:r>
      <w:proofErr w:type="gramStart"/>
      <w:r w:rsidRPr="008343E1">
        <w:rPr>
          <w:rFonts w:ascii="Calibri" w:hAnsi="Calibri"/>
          <w:smallCaps/>
          <w:szCs w:val="24"/>
        </w:rPr>
        <w:t>A</w:t>
      </w:r>
      <w:proofErr w:type="gramEnd"/>
      <w:r w:rsidRPr="008343E1">
        <w:rPr>
          <w:rFonts w:ascii="Calibri" w:hAnsi="Calibri"/>
          <w:szCs w:val="24"/>
        </w:rPr>
        <w:t xml:space="preserve"> in firing neuron </w:t>
      </w:r>
      <w:r w:rsidRPr="008343E1">
        <w:rPr>
          <w:rFonts w:ascii="Calibri" w:hAnsi="Calibri"/>
          <w:smallCaps/>
          <w:szCs w:val="24"/>
        </w:rPr>
        <w:t>B</w:t>
      </w:r>
      <w:r w:rsidRPr="008343E1">
        <w:rPr>
          <w:rFonts w:ascii="Calibri" w:hAnsi="Calibri"/>
          <w:szCs w:val="24"/>
        </w:rPr>
        <w:t xml:space="preserve"> entails an increase of the strength of the action of </w:t>
      </w:r>
      <w:r w:rsidRPr="008343E1">
        <w:rPr>
          <w:rFonts w:ascii="Calibri" w:hAnsi="Calibri"/>
          <w:smallCaps/>
          <w:szCs w:val="24"/>
        </w:rPr>
        <w:t>A</w:t>
      </w:r>
      <w:r w:rsidRPr="008343E1">
        <w:rPr>
          <w:rFonts w:ascii="Calibri" w:hAnsi="Calibri"/>
          <w:szCs w:val="24"/>
        </w:rPr>
        <w:t xml:space="preserve"> onto </w:t>
      </w:r>
      <w:r w:rsidRPr="008343E1">
        <w:rPr>
          <w:rFonts w:ascii="Calibri" w:hAnsi="Calibri"/>
          <w:smallCaps/>
          <w:szCs w:val="24"/>
        </w:rPr>
        <w:t>B</w:t>
      </w:r>
      <w:r w:rsidRPr="008343E1">
        <w:rPr>
          <w:rFonts w:ascii="Calibri" w:hAnsi="Calibri"/>
          <w:szCs w:val="24"/>
        </w:rPr>
        <w:t xml:space="preserve">. That is, on the basis of repeated simultaneous activation, the efficiency of one cell to activate the other is increased. </w:t>
      </w:r>
    </w:p>
    <w:p w:rsidR="000708F8" w:rsidRPr="008343E1" w:rsidRDefault="000708F8" w:rsidP="00C735CD">
      <w:pPr>
        <w:spacing w:after="200" w:line="276" w:lineRule="auto"/>
        <w:rPr>
          <w:rFonts w:ascii="Calibri" w:hAnsi="Calibri"/>
          <w:szCs w:val="24"/>
        </w:rPr>
      </w:pPr>
      <w:r w:rsidRPr="008343E1">
        <w:rPr>
          <w:rFonts w:ascii="Calibri" w:hAnsi="Calibri"/>
          <w:szCs w:val="24"/>
        </w:rPr>
        <w:t>Recall the process of perceiving the first instance of a tree. The subject selectively attends to different parts of the perceived tree and representations of those parts are formed and stored in the mind. This process is underlain by neuronal activations. Given that different parts of the perceived tree appear different, are in different positions, etc. and also given that certain neurons are dedicated to perception of edges, colours etc., the claim put forth here is that each part of the perceived object is represented on the basis of different neurons firing in a particular way. Note that we do not imply a one-to-one mapping between neuronal activations and features in the world.</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According to aforementioned Hebbian rule, in order for different cells to wire together, they have to get activated </w:t>
      </w:r>
      <w:r w:rsidRPr="008343E1">
        <w:rPr>
          <w:rFonts w:ascii="Calibri" w:hAnsi="Calibri"/>
          <w:i/>
          <w:szCs w:val="24"/>
        </w:rPr>
        <w:t xml:space="preserve">simultaneously. </w:t>
      </w:r>
      <w:r w:rsidRPr="008343E1">
        <w:rPr>
          <w:rFonts w:ascii="Calibri" w:hAnsi="Calibri"/>
          <w:szCs w:val="24"/>
        </w:rPr>
        <w:t xml:space="preserve">In our view, perception does occur in virtue of ‘simultaneous’ firings of different neurons dedicated to perception of specific aspects and features of perceived object and events. More specifically, visual selective attention is by and large dependent on saccadic eye movements. Given that each saccade lasts a few milliseconds, we argue that perception of different parts of an object, of a tree in this case, occurs (almost) simultaneously. In turn, properties of different instances that get systematically co-activated will get strongly connected. </w:t>
      </w:r>
    </w:p>
    <w:p w:rsidR="000708F8" w:rsidRPr="008343E1" w:rsidRDefault="000708F8" w:rsidP="00C735CD">
      <w:pPr>
        <w:spacing w:after="200" w:line="276" w:lineRule="auto"/>
        <w:rPr>
          <w:rFonts w:ascii="Calibri" w:hAnsi="Calibri"/>
          <w:szCs w:val="24"/>
        </w:rPr>
      </w:pPr>
      <w:r w:rsidRPr="008343E1">
        <w:rPr>
          <w:rFonts w:ascii="Calibri" w:hAnsi="Calibri"/>
          <w:szCs w:val="24"/>
        </w:rPr>
        <w:t>At a superordinate level, concepts, like single representations, get also connected with each other. The more frequent the co-occurrence of a pair (or set) of concepts the stronger the connections between them. In line with the Hebbian rule, once a concept of this pair becomes activated, the other will also become activated. Clearly, selective attention might override the aforementioned Hebbian connections between two concepts, but without such influences, the Hebbian principle applies also to concepts. Crucially, the rest of the (stronger) connections stemming from an activated concept also contribute in activating different other concepts.</w:t>
      </w:r>
      <w:r w:rsidRPr="008343E1">
        <w:rPr>
          <w:rStyle w:val="EndnoteReference"/>
          <w:rFonts w:ascii="Calibri" w:hAnsi="Calibri"/>
          <w:szCs w:val="24"/>
        </w:rPr>
        <w:t xml:space="preserve"> </w:t>
      </w:r>
      <w:r w:rsidRPr="008343E1">
        <w:rPr>
          <w:rStyle w:val="EndnoteReference"/>
          <w:rFonts w:ascii="Calibri" w:hAnsi="Calibri"/>
          <w:szCs w:val="24"/>
        </w:rPr>
        <w:endnoteReference w:id="18"/>
      </w:r>
      <w:r w:rsidRPr="008343E1">
        <w:rPr>
          <w:rFonts w:ascii="Calibri" w:hAnsi="Calibri"/>
          <w:szCs w:val="24"/>
        </w:rPr>
        <w:t xml:space="preserve"> </w:t>
      </w:r>
    </w:p>
    <w:p w:rsidR="000708F8" w:rsidRPr="008343E1" w:rsidRDefault="000708F8" w:rsidP="00C735CD">
      <w:pPr>
        <w:spacing w:after="200" w:line="276" w:lineRule="auto"/>
        <w:rPr>
          <w:rFonts w:ascii="Calibri" w:hAnsi="Calibri"/>
          <w:szCs w:val="24"/>
        </w:rPr>
      </w:pPr>
      <w:r w:rsidRPr="008343E1">
        <w:rPr>
          <w:rFonts w:ascii="Calibri" w:hAnsi="Calibri"/>
          <w:szCs w:val="24"/>
          <w:lang w:val="en-US"/>
        </w:rPr>
        <w:t>On the hypothesis</w:t>
      </w:r>
      <w:r w:rsidRPr="008343E1">
        <w:rPr>
          <w:rFonts w:ascii="Calibri" w:hAnsi="Calibri"/>
          <w:szCs w:val="24"/>
        </w:rPr>
        <w:t xml:space="preserve"> that concepts are the building blocks of thoughts, the connections between concepts will influence or determine (though not necessarily in a systematic way), which thoughts will next be formed.  We turn to examine this process in more detail next. </w:t>
      </w:r>
    </w:p>
    <w:p w:rsidR="000708F8" w:rsidRPr="008343E1" w:rsidRDefault="000708F8" w:rsidP="00C735CD">
      <w:pPr>
        <w:spacing w:after="200" w:line="276" w:lineRule="auto"/>
        <w:rPr>
          <w:rFonts w:ascii="Calibri" w:hAnsi="Calibri"/>
          <w:szCs w:val="24"/>
        </w:rPr>
      </w:pPr>
    </w:p>
    <w:p w:rsidR="000708F8" w:rsidRPr="008343E1" w:rsidRDefault="000708F8" w:rsidP="00C735CD">
      <w:pPr>
        <w:spacing w:after="200" w:line="276" w:lineRule="auto"/>
        <w:rPr>
          <w:rFonts w:ascii="Calibri" w:hAnsi="Calibri"/>
          <w:b/>
          <w:szCs w:val="24"/>
        </w:rPr>
      </w:pPr>
      <w:r w:rsidRPr="008343E1">
        <w:rPr>
          <w:rFonts w:ascii="Calibri" w:hAnsi="Calibri"/>
          <w:b/>
          <w:szCs w:val="24"/>
        </w:rPr>
        <w:t>2.4. Thinking about Thinking</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As is standard, concepts are taken to be the building blocks of thinking. In turn, a crucial aspect of concepts is that they have rich cognitive role properties. More specifically, we focus here on the suggestion that concepts are endogenously controllable or that can be activated in a top-down manner (e.g. </w:t>
      </w:r>
      <w:r w:rsidR="005A7F39" w:rsidRPr="008343E1">
        <w:rPr>
          <w:rFonts w:ascii="Calibri" w:hAnsi="Calibri"/>
          <w:szCs w:val="24"/>
        </w:rPr>
        <w:t>[</w:t>
      </w:r>
      <w:r w:rsidRPr="008343E1">
        <w:rPr>
          <w:rFonts w:ascii="Calibri" w:hAnsi="Calibri"/>
          <w:szCs w:val="24"/>
        </w:rPr>
        <w:t xml:space="preserve">Prinz </w:t>
      </w:r>
      <w:r w:rsidR="005A7F39" w:rsidRPr="008343E1">
        <w:rPr>
          <w:rFonts w:ascii="Calibri" w:hAnsi="Calibri"/>
          <w:szCs w:val="24"/>
        </w:rPr>
        <w:t>(</w:t>
      </w:r>
      <w:r w:rsidRPr="008343E1">
        <w:rPr>
          <w:rFonts w:ascii="Calibri" w:hAnsi="Calibri"/>
          <w:szCs w:val="24"/>
        </w:rPr>
        <w:t>2002</w:t>
      </w:r>
      <w:r w:rsidR="005A7F39" w:rsidRPr="008343E1">
        <w:rPr>
          <w:rFonts w:ascii="Calibri" w:hAnsi="Calibri"/>
          <w:szCs w:val="24"/>
        </w:rPr>
        <w:t>)</w:t>
      </w:r>
      <w:r w:rsidRPr="008343E1">
        <w:rPr>
          <w:rFonts w:ascii="Calibri" w:hAnsi="Calibri"/>
          <w:szCs w:val="24"/>
        </w:rPr>
        <w:t xml:space="preserve">; Barsalou </w:t>
      </w:r>
      <w:r w:rsidR="005A7F39" w:rsidRPr="008343E1">
        <w:rPr>
          <w:rFonts w:ascii="Calibri" w:hAnsi="Calibri"/>
          <w:szCs w:val="24"/>
        </w:rPr>
        <w:t>(</w:t>
      </w:r>
      <w:r w:rsidRPr="008343E1">
        <w:rPr>
          <w:rFonts w:ascii="Calibri" w:hAnsi="Calibri"/>
          <w:szCs w:val="24"/>
        </w:rPr>
        <w:t>1999)</w:t>
      </w:r>
      <w:r w:rsidR="005A7F39" w:rsidRPr="008343E1">
        <w:rPr>
          <w:rFonts w:ascii="Calibri" w:hAnsi="Calibri"/>
          <w:szCs w:val="24"/>
        </w:rPr>
        <w:t>]</w:t>
      </w:r>
      <w:r w:rsidR="00151A68">
        <w:rPr>
          <w:rFonts w:ascii="Calibri" w:hAnsi="Calibri"/>
          <w:szCs w:val="24"/>
        </w:rPr>
        <w:t>)</w:t>
      </w:r>
      <w:r w:rsidRPr="008343E1">
        <w:rPr>
          <w:rFonts w:ascii="Calibri" w:hAnsi="Calibri"/>
          <w:szCs w:val="24"/>
        </w:rPr>
        <w:t>.</w:t>
      </w:r>
      <w:r w:rsidRPr="008343E1">
        <w:rPr>
          <w:rStyle w:val="EndnoteReference"/>
          <w:rFonts w:ascii="Calibri" w:hAnsi="Calibri"/>
          <w:szCs w:val="24"/>
        </w:rPr>
        <w:t xml:space="preserve"> </w:t>
      </w:r>
      <w:r w:rsidRPr="008343E1">
        <w:rPr>
          <w:rStyle w:val="EndnoteReference"/>
          <w:rFonts w:ascii="Calibri" w:hAnsi="Calibri"/>
          <w:szCs w:val="24"/>
        </w:rPr>
        <w:endnoteReference w:id="19"/>
      </w:r>
      <w:r w:rsidRPr="008343E1">
        <w:rPr>
          <w:rFonts w:ascii="Calibri" w:hAnsi="Calibri"/>
          <w:szCs w:val="24"/>
        </w:rPr>
        <w:t xml:space="preserve"> In this sense, concepts and in turn thoughts can be formed not only on the basis of processes of perceiving but also of processes of thinking.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In the suggested view, endogenously controlled thinking is a form of associative thinking; that is, current thinking caused by earlier thinking. Here we commit to a view of internal thinking which is imagistic, to the extent that conceptual thoughts are built out of concepts, which are in turn built out of perceptual representations. In turn, we take concepts to be associationistic in their causal patterns. That is, every concept is associated with other concepts (semantic content). Once a given concept is activated, concepts associated to it will also be activated. For example, consider someone uttering the word ‘Trip’ and another agent mistakenly hearing the word ‘Grip’, who may resultantly start to think about friction and laws of physics, rather than travelling. This is a case where an agent is forming a thought in the absence of an appropriate stimulus, seemingly in a spontaneous but actually in an associative manner. </w:t>
      </w:r>
    </w:p>
    <w:p w:rsidR="000708F8" w:rsidRPr="008343E1" w:rsidRDefault="000708F8" w:rsidP="00C735CD">
      <w:pPr>
        <w:widowControl w:val="0"/>
        <w:autoSpaceDE w:val="0"/>
        <w:autoSpaceDN w:val="0"/>
        <w:adjustRightInd w:val="0"/>
        <w:spacing w:after="200" w:line="276" w:lineRule="auto"/>
        <w:rPr>
          <w:rFonts w:ascii="Calibri" w:hAnsi="Calibri"/>
          <w:color w:val="000000"/>
          <w:szCs w:val="24"/>
        </w:rPr>
      </w:pPr>
      <w:r w:rsidRPr="008343E1">
        <w:rPr>
          <w:rFonts w:ascii="Calibri" w:hAnsi="Calibri"/>
          <w:szCs w:val="24"/>
        </w:rPr>
        <w:t>E</w:t>
      </w:r>
      <w:r w:rsidRPr="008343E1">
        <w:rPr>
          <w:rFonts w:ascii="Calibri" w:hAnsi="Calibri"/>
          <w:color w:val="000000"/>
          <w:szCs w:val="24"/>
        </w:rPr>
        <w:t xml:space="preserve">vidence in support of the suggested associationistic view of thinking can be found in the work of Elman et al. </w:t>
      </w:r>
      <w:r w:rsidR="00337B8E" w:rsidRPr="008343E1">
        <w:rPr>
          <w:rFonts w:ascii="Calibri" w:hAnsi="Calibri"/>
          <w:color w:val="000000"/>
          <w:szCs w:val="24"/>
        </w:rPr>
        <w:t>[</w:t>
      </w:r>
      <w:r w:rsidRPr="008343E1">
        <w:rPr>
          <w:rFonts w:ascii="Calibri" w:hAnsi="Calibri"/>
          <w:color w:val="000000"/>
          <w:szCs w:val="24"/>
        </w:rPr>
        <w:t>(1996)</w:t>
      </w:r>
      <w:r w:rsidR="00337B8E" w:rsidRPr="008343E1">
        <w:rPr>
          <w:rFonts w:ascii="Calibri" w:hAnsi="Calibri"/>
          <w:color w:val="000000"/>
          <w:szCs w:val="24"/>
        </w:rPr>
        <w:t>]</w:t>
      </w:r>
      <w:r w:rsidRPr="008343E1">
        <w:rPr>
          <w:rFonts w:ascii="Calibri" w:hAnsi="Calibri"/>
          <w:color w:val="000000"/>
          <w:szCs w:val="24"/>
        </w:rPr>
        <w:t xml:space="preserve">, even though we are not committed to a connectionist cognitive architecture. According to Elman, artificial neural networks can be highly constrained by the network’s current weight assignment. That is to say, that the pattern of activation set by a connectionist network </w:t>
      </w:r>
      <w:r w:rsidRPr="008343E1">
        <w:rPr>
          <w:rFonts w:ascii="Calibri" w:hAnsi="Calibri"/>
          <w:szCs w:val="24"/>
        </w:rPr>
        <w:t xml:space="preserve">is determined by the weights, or strength of connections between the units. These weights model the effects of the synapses between different neurons in the human brain. So, different levels of activation of synapses that connect one neuron to another place a significant constraint on what new ideas the mind can explore next. In this sense, sub-activation of certain neuronal ensembles constrain or drive activation in a specific way, i.e. towards specific thoughts associated with the sub-activated links of the linguistic network in question.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Given the current understanding of intuitions (or T-1 processes) </w:t>
      </w:r>
      <w:r w:rsidRPr="008343E1">
        <w:rPr>
          <w:rFonts w:ascii="Calibri" w:hAnsi="Calibri"/>
          <w:szCs w:val="24"/>
          <w:lang w:eastAsia="en-US"/>
        </w:rPr>
        <w:t xml:space="preserve">as largely unconscious cognitive processes, which are projected in to conscious cognitive processes, </w:t>
      </w:r>
      <w:r w:rsidRPr="008343E1">
        <w:rPr>
          <w:rFonts w:ascii="Calibri" w:hAnsi="Calibri"/>
          <w:color w:val="333333"/>
          <w:szCs w:val="24"/>
          <w:lang w:eastAsia="en-US"/>
        </w:rPr>
        <w:t xml:space="preserve">we argue that intuitions are precisely </w:t>
      </w:r>
      <w:r w:rsidRPr="008343E1">
        <w:rPr>
          <w:rFonts w:ascii="Calibri" w:hAnsi="Calibri"/>
          <w:szCs w:val="24"/>
        </w:rPr>
        <w:t xml:space="preserve">these sub-activated connections between different concepts. These, in turn, are influenced by the relative weights between their associations. In line with Hebbian associationism, the more frequent the co-occurrence between different concepts, the stronger the connections between them becomes. </w:t>
      </w:r>
      <w:r w:rsidRPr="008343E1">
        <w:rPr>
          <w:rFonts w:ascii="Calibri" w:hAnsi="Calibri"/>
          <w:color w:val="333333"/>
          <w:szCs w:val="24"/>
          <w:lang w:eastAsia="en-US"/>
        </w:rPr>
        <w:t xml:space="preserve">In turn, the stronger the connection between sets of concepts, the more frequently certain sequences of thoughts tokened, and hence, the more intuitive it will seem to us that a certain given thought will entail a certain other thought. </w:t>
      </w:r>
      <w:r w:rsidRPr="008343E1">
        <w:rPr>
          <w:rFonts w:ascii="Calibri" w:hAnsi="Calibri"/>
          <w:szCs w:val="24"/>
        </w:rPr>
        <w:t xml:space="preserve">Once again, intuitions are these sub-activated representations, which influence thinking. </w:t>
      </w:r>
    </w:p>
    <w:p w:rsidR="000708F8" w:rsidRPr="008343E1" w:rsidRDefault="000708F8" w:rsidP="00C735CD">
      <w:pPr>
        <w:spacing w:after="200" w:line="276" w:lineRule="auto"/>
        <w:rPr>
          <w:rFonts w:ascii="Calibri" w:hAnsi="Calibri"/>
          <w:b/>
          <w:szCs w:val="24"/>
        </w:rPr>
      </w:pPr>
    </w:p>
    <w:p w:rsidR="000708F8" w:rsidRPr="008343E1" w:rsidRDefault="000708F8" w:rsidP="00C735CD">
      <w:pPr>
        <w:spacing w:after="200" w:line="276" w:lineRule="auto"/>
        <w:rPr>
          <w:rFonts w:ascii="Calibri" w:hAnsi="Calibri"/>
          <w:b/>
          <w:szCs w:val="24"/>
        </w:rPr>
      </w:pPr>
      <w:r w:rsidRPr="008343E1">
        <w:rPr>
          <w:rFonts w:ascii="Calibri" w:hAnsi="Calibri"/>
          <w:b/>
          <w:szCs w:val="24"/>
        </w:rPr>
        <w:t>3. Sub-activated Representation &amp; Intuitions</w:t>
      </w:r>
    </w:p>
    <w:p w:rsidR="000708F8" w:rsidRPr="008343E1" w:rsidRDefault="000708F8" w:rsidP="00C735CD">
      <w:pPr>
        <w:spacing w:after="200" w:line="276" w:lineRule="auto"/>
        <w:rPr>
          <w:rFonts w:ascii="Calibri" w:hAnsi="Calibri"/>
          <w:b/>
          <w:szCs w:val="24"/>
        </w:rPr>
      </w:pPr>
      <w:r w:rsidRPr="008343E1">
        <w:rPr>
          <w:rFonts w:ascii="Calibri" w:hAnsi="Calibri"/>
          <w:b/>
          <w:szCs w:val="24"/>
        </w:rPr>
        <w:t>3.1. Connections with the Dual-Process account</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In the previous section, we suggested an account about how thinking occurs (call it Representational Sub-activation Thesis, or RSA) and put forth a view concerning the nature of intuitions. In this section, we focus on the way that the suggested view relates to DPTs, and how it deals with some of the extant issues with those approaches, identified in (§1.2). </w:t>
      </w:r>
    </w:p>
    <w:p w:rsidR="000708F8" w:rsidRPr="008343E1" w:rsidRDefault="000708F8" w:rsidP="00C735CD">
      <w:pPr>
        <w:spacing w:after="200" w:line="276" w:lineRule="auto"/>
        <w:rPr>
          <w:rFonts w:ascii="Calibri" w:hAnsi="Calibri"/>
          <w:szCs w:val="24"/>
        </w:rPr>
      </w:pPr>
      <w:r w:rsidRPr="008343E1">
        <w:rPr>
          <w:rFonts w:ascii="Calibri" w:hAnsi="Calibri"/>
          <w:szCs w:val="24"/>
        </w:rPr>
        <w:t>RSA relates to DPTs roughly as follows. We take intuitions, or T-1 processes, to be sub-activated representations, which are influenced by the relative weightings of the connections that hold between different representations. These structures of representations are largely network-like, and representations within these networks are linked with other mental states (e.g. emotional states), and are associatively conditioned.</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Fleshing out this idea, the stronger the weight of the connection between a pair of representations, the greater the probability that activation of one representation will activate the other (Hebbian rule). As it happens, a given representation in a network is further associated with a number of other representations. Once the representation in question is activated, the rest of the associated representations will become sub-activated. The reason why not all associated representations become activated, but rather sub-activated, is two-fold. First, different weights obtain across different sets of associated representations. In addition, the strengths of the connections determine the levels of activation. Importantly, which representations will be fully activated is also influenced by selective attention. Recall from the previous section that stored sub-activated representations drive selective attention in a top-down manner. In this way, once a stored representation is activated, the associated representations are sub-activated, and, so drive selective attention to certain parts of the stimuli or to other stored representations (in the case of off-line thinking). In turn, once selective attention focuses on a further representation within the set in question, a similar process occurs where there are top-down influences on selective attention and the sub-activation of further associated representations. In this way, the mind explores, or forms, sequences of ideas. Admittedly, the above-described process is merely an idealised scenario of off-line thinking, since in many cases of online (and to a lesser extent off-line thinking processes) further factors, such as contextual features, influence selective attention.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It is worth noting that the same representational network-like structures are also available to reasoning (T-2) processes. In this sense, reasoning processes may also become activated in a top-down manner via directed endogenous control. So, thinking is constrained by the weights of different associated sets of representations. The weights of different associations are, in turn, determined by frequencies of the co-activation of representations, whether emotional states are involved in those processes, and so forth. </w:t>
      </w:r>
    </w:p>
    <w:p w:rsidR="000708F8" w:rsidRPr="008343E1" w:rsidRDefault="000708F8" w:rsidP="00C735CD">
      <w:pPr>
        <w:spacing w:after="200" w:line="276" w:lineRule="auto"/>
        <w:rPr>
          <w:rFonts w:ascii="Calibri" w:hAnsi="Calibri"/>
          <w:szCs w:val="24"/>
        </w:rPr>
      </w:pPr>
      <w:r w:rsidRPr="008343E1">
        <w:rPr>
          <w:rFonts w:ascii="Calibri" w:hAnsi="Calibri"/>
          <w:szCs w:val="24"/>
        </w:rPr>
        <w:t>In this sense, representational structures enjoy great levels of plasticity, in the sense that in light of new stimuli or reflection, new associations can be formed and, in turn, direct the system in various ways. The more frequently attention is drawn to a given new representation the faster an association will be formed.</w:t>
      </w:r>
      <w:r w:rsidRPr="008343E1">
        <w:rPr>
          <w:rStyle w:val="EndnoteReference"/>
          <w:rFonts w:ascii="Calibri" w:hAnsi="Calibri"/>
          <w:szCs w:val="24"/>
        </w:rPr>
        <w:endnoteReference w:id="20"/>
      </w:r>
      <w:r w:rsidRPr="008343E1">
        <w:rPr>
          <w:rFonts w:ascii="Calibri" w:hAnsi="Calibri"/>
          <w:szCs w:val="24"/>
        </w:rPr>
        <w:t xml:space="preserve"> In contrast, the more rarely an existing association is activated, the weaker the connection between them will grow, and the more idle it will become in thinking processes. It is in these terms that we might consider the process of debiasing, and more fully explain fundamental biases such as the belief bias. </w:t>
      </w:r>
    </w:p>
    <w:p w:rsidR="000708F8" w:rsidRPr="008343E1" w:rsidRDefault="000708F8" w:rsidP="00C735CD">
      <w:pPr>
        <w:spacing w:after="200" w:line="276" w:lineRule="auto"/>
        <w:rPr>
          <w:rFonts w:ascii="Calibri" w:hAnsi="Calibri"/>
          <w:b/>
          <w:szCs w:val="24"/>
          <w:lang w:val="en-US"/>
        </w:rPr>
      </w:pPr>
    </w:p>
    <w:p w:rsidR="000708F8" w:rsidRPr="008343E1" w:rsidRDefault="000708F8" w:rsidP="00C735CD">
      <w:pPr>
        <w:spacing w:after="200" w:line="276" w:lineRule="auto"/>
        <w:rPr>
          <w:rFonts w:ascii="Calibri" w:hAnsi="Calibri"/>
          <w:b/>
          <w:szCs w:val="24"/>
          <w:lang w:val="en-US"/>
        </w:rPr>
      </w:pPr>
      <w:r w:rsidRPr="008343E1">
        <w:rPr>
          <w:rFonts w:ascii="Calibri" w:hAnsi="Calibri"/>
          <w:b/>
          <w:szCs w:val="24"/>
          <w:lang w:val="en-US"/>
        </w:rPr>
        <w:t>3.2 Explaining “bias”</w:t>
      </w:r>
    </w:p>
    <w:p w:rsidR="000708F8" w:rsidRPr="008343E1" w:rsidRDefault="000708F8" w:rsidP="00C735CD">
      <w:pPr>
        <w:spacing w:after="200" w:line="276" w:lineRule="auto"/>
        <w:rPr>
          <w:rFonts w:ascii="Calibri" w:hAnsi="Calibri"/>
          <w:szCs w:val="24"/>
        </w:rPr>
      </w:pPr>
      <w:r w:rsidRPr="008343E1">
        <w:rPr>
          <w:rFonts w:ascii="Calibri" w:hAnsi="Calibri"/>
          <w:szCs w:val="24"/>
          <w:lang w:val="en-US"/>
        </w:rPr>
        <w:t xml:space="preserve">Consider a classic case intended to display “belief bias” in thinker’s reasoning. Here, belief bias has to do with subject’s tendency to endorse the validity of invalid arguments that accord with extant beliefs, and reject valid arguments that do not. </w:t>
      </w:r>
      <w:r w:rsidRPr="008343E1">
        <w:rPr>
          <w:rFonts w:ascii="Calibri" w:hAnsi="Calibri"/>
          <w:szCs w:val="24"/>
        </w:rPr>
        <w:t xml:space="preserve">The bias is highlighted in experiments </w:t>
      </w:r>
      <w:r w:rsidR="00C93196" w:rsidRPr="008343E1">
        <w:rPr>
          <w:rFonts w:ascii="Calibri" w:hAnsi="Calibri"/>
          <w:szCs w:val="24"/>
        </w:rPr>
        <w:t>[</w:t>
      </w:r>
      <w:r w:rsidRPr="008343E1">
        <w:rPr>
          <w:rFonts w:ascii="Calibri" w:hAnsi="Calibri"/>
          <w:szCs w:val="24"/>
        </w:rPr>
        <w:t xml:space="preserve">Sá &amp; Stanovich </w:t>
      </w:r>
      <w:r w:rsidR="00C93196" w:rsidRPr="008343E1">
        <w:rPr>
          <w:rFonts w:ascii="Calibri" w:hAnsi="Calibri"/>
          <w:szCs w:val="24"/>
        </w:rPr>
        <w:t>(</w:t>
      </w:r>
      <w:r w:rsidRPr="008343E1">
        <w:rPr>
          <w:rFonts w:ascii="Calibri" w:hAnsi="Calibri"/>
          <w:szCs w:val="24"/>
        </w:rPr>
        <w:t>1999)</w:t>
      </w:r>
      <w:r w:rsidR="00C93196" w:rsidRPr="008343E1">
        <w:rPr>
          <w:rFonts w:ascii="Calibri" w:hAnsi="Calibri"/>
          <w:szCs w:val="24"/>
        </w:rPr>
        <w:t>]</w:t>
      </w:r>
      <w:r w:rsidRPr="008343E1">
        <w:rPr>
          <w:rFonts w:ascii="Calibri" w:hAnsi="Calibri"/>
          <w:szCs w:val="24"/>
        </w:rPr>
        <w:t xml:space="preserve">, where subjects presented with an invalid syllogism, like the following, are asked to assess its validity. </w:t>
      </w:r>
    </w:p>
    <w:p w:rsidR="000708F8" w:rsidRPr="008343E1" w:rsidRDefault="000708F8" w:rsidP="00C735CD">
      <w:pPr>
        <w:numPr>
          <w:ilvl w:val="0"/>
          <w:numId w:val="13"/>
        </w:numPr>
        <w:spacing w:after="200" w:line="276" w:lineRule="auto"/>
        <w:ind w:left="284" w:firstLine="0"/>
        <w:rPr>
          <w:rFonts w:ascii="Calibri" w:hAnsi="Calibri"/>
          <w:szCs w:val="24"/>
          <w:lang w:val="en-US"/>
        </w:rPr>
      </w:pPr>
      <w:r w:rsidRPr="008343E1">
        <w:rPr>
          <w:rFonts w:ascii="Calibri" w:hAnsi="Calibri"/>
          <w:szCs w:val="24"/>
          <w:lang w:val="en-US"/>
        </w:rPr>
        <w:t>All living things need water.</w:t>
      </w:r>
    </w:p>
    <w:p w:rsidR="000708F8" w:rsidRPr="008343E1" w:rsidRDefault="000708F8" w:rsidP="00C735CD">
      <w:pPr>
        <w:numPr>
          <w:ilvl w:val="0"/>
          <w:numId w:val="13"/>
        </w:numPr>
        <w:spacing w:after="200" w:line="276" w:lineRule="auto"/>
        <w:ind w:left="284" w:firstLine="0"/>
        <w:rPr>
          <w:rFonts w:ascii="Calibri" w:hAnsi="Calibri"/>
          <w:szCs w:val="24"/>
          <w:lang w:val="en-US"/>
        </w:rPr>
      </w:pPr>
      <w:r w:rsidRPr="008343E1">
        <w:rPr>
          <w:rFonts w:ascii="Calibri" w:hAnsi="Calibri"/>
          <w:szCs w:val="24"/>
          <w:lang w:val="en-US"/>
        </w:rPr>
        <w:t>Roses need water.</w:t>
      </w:r>
    </w:p>
    <w:p w:rsidR="000708F8" w:rsidRPr="008343E1" w:rsidRDefault="000708F8" w:rsidP="00C735CD">
      <w:pPr>
        <w:numPr>
          <w:ilvl w:val="0"/>
          <w:numId w:val="13"/>
        </w:numPr>
        <w:spacing w:after="200" w:line="276" w:lineRule="auto"/>
        <w:ind w:left="284" w:firstLine="0"/>
        <w:rPr>
          <w:rFonts w:ascii="Calibri" w:hAnsi="Calibri"/>
          <w:szCs w:val="24"/>
          <w:lang w:val="en-US"/>
        </w:rPr>
      </w:pPr>
      <w:r w:rsidRPr="008343E1">
        <w:rPr>
          <w:rFonts w:ascii="Calibri" w:hAnsi="Calibri"/>
          <w:szCs w:val="24"/>
          <w:lang w:val="en-US"/>
        </w:rPr>
        <w:t>Thus, roses are living things.</w:t>
      </w:r>
    </w:p>
    <w:p w:rsidR="000708F8" w:rsidRPr="008343E1" w:rsidRDefault="000708F8" w:rsidP="00C735CD">
      <w:pPr>
        <w:spacing w:after="200" w:line="276" w:lineRule="auto"/>
        <w:rPr>
          <w:rFonts w:ascii="Calibri" w:hAnsi="Calibri"/>
          <w:szCs w:val="24"/>
          <w:lang w:val="en-US"/>
        </w:rPr>
      </w:pPr>
      <w:r w:rsidRPr="008343E1">
        <w:rPr>
          <w:rFonts w:ascii="Calibri" w:hAnsi="Calibri"/>
          <w:szCs w:val="24"/>
          <w:lang w:val="en-US"/>
        </w:rPr>
        <w:t>According to the obtained results, 32% of subjects replied that this was not a valid argument, while 68% returned valid. The mood of the syllogism is AAA-2. A syllogism of the same mood was then presented to the subjects involving ‘foreign’ terms (involving an imaginary species, Wampets, and an imaginary class, Hudon), and subsequently, they were asked to evaluate the following:</w:t>
      </w:r>
    </w:p>
    <w:p w:rsidR="000708F8" w:rsidRPr="008343E1" w:rsidRDefault="000708F8" w:rsidP="00C735CD">
      <w:pPr>
        <w:numPr>
          <w:ilvl w:val="0"/>
          <w:numId w:val="13"/>
        </w:numPr>
        <w:tabs>
          <w:tab w:val="clear" w:pos="720"/>
          <w:tab w:val="left" w:pos="284"/>
        </w:tabs>
        <w:spacing w:after="200" w:line="276" w:lineRule="auto"/>
        <w:ind w:left="284" w:firstLine="0"/>
        <w:rPr>
          <w:rFonts w:ascii="Calibri" w:hAnsi="Calibri"/>
          <w:szCs w:val="24"/>
          <w:lang w:val="en-US"/>
        </w:rPr>
      </w:pPr>
      <w:r w:rsidRPr="008343E1">
        <w:rPr>
          <w:rFonts w:ascii="Calibri" w:hAnsi="Calibri"/>
          <w:szCs w:val="24"/>
          <w:lang w:val="en-US"/>
        </w:rPr>
        <w:t xml:space="preserve">All animals of the </w:t>
      </w:r>
      <w:r w:rsidR="00F90F24" w:rsidRPr="008343E1">
        <w:rPr>
          <w:rFonts w:ascii="Calibri" w:hAnsi="Calibri"/>
          <w:szCs w:val="24"/>
          <w:lang w:val="en-US"/>
        </w:rPr>
        <w:t>H</w:t>
      </w:r>
      <w:r w:rsidRPr="008343E1">
        <w:rPr>
          <w:rFonts w:ascii="Calibri" w:hAnsi="Calibri"/>
          <w:szCs w:val="24"/>
          <w:lang w:val="en-US"/>
        </w:rPr>
        <w:t>udon class are ferocious.</w:t>
      </w:r>
    </w:p>
    <w:p w:rsidR="000708F8" w:rsidRPr="008343E1" w:rsidRDefault="000708F8" w:rsidP="00C735CD">
      <w:pPr>
        <w:numPr>
          <w:ilvl w:val="0"/>
          <w:numId w:val="13"/>
        </w:numPr>
        <w:tabs>
          <w:tab w:val="clear" w:pos="720"/>
          <w:tab w:val="left" w:pos="284"/>
        </w:tabs>
        <w:spacing w:after="200" w:line="276" w:lineRule="auto"/>
        <w:ind w:left="284" w:firstLine="0"/>
        <w:rPr>
          <w:rFonts w:ascii="Calibri" w:hAnsi="Calibri"/>
          <w:szCs w:val="24"/>
          <w:lang w:val="en-US"/>
        </w:rPr>
      </w:pPr>
      <w:r w:rsidRPr="008343E1">
        <w:rPr>
          <w:rFonts w:ascii="Calibri" w:hAnsi="Calibri"/>
          <w:szCs w:val="24"/>
          <w:lang w:val="en-US"/>
        </w:rPr>
        <w:t>Wampets are ferocious.</w:t>
      </w:r>
    </w:p>
    <w:p w:rsidR="000708F8" w:rsidRPr="008343E1" w:rsidRDefault="000708F8" w:rsidP="00C735CD">
      <w:pPr>
        <w:numPr>
          <w:ilvl w:val="0"/>
          <w:numId w:val="13"/>
        </w:numPr>
        <w:tabs>
          <w:tab w:val="clear" w:pos="720"/>
          <w:tab w:val="left" w:pos="284"/>
        </w:tabs>
        <w:spacing w:after="200" w:line="276" w:lineRule="auto"/>
        <w:ind w:left="284" w:firstLine="0"/>
        <w:rPr>
          <w:rFonts w:ascii="Calibri" w:hAnsi="Calibri"/>
          <w:szCs w:val="24"/>
          <w:lang w:val="en-US"/>
        </w:rPr>
      </w:pPr>
      <w:r w:rsidRPr="008343E1">
        <w:rPr>
          <w:rFonts w:ascii="Calibri" w:hAnsi="Calibri"/>
          <w:szCs w:val="24"/>
          <w:lang w:val="en-US"/>
        </w:rPr>
        <w:t xml:space="preserve">Thus, wampets are animals of the </w:t>
      </w:r>
      <w:r w:rsidR="00EC00DA" w:rsidRPr="008343E1">
        <w:rPr>
          <w:rFonts w:ascii="Calibri" w:hAnsi="Calibri"/>
          <w:szCs w:val="24"/>
          <w:lang w:val="en-US"/>
        </w:rPr>
        <w:t>H</w:t>
      </w:r>
      <w:r w:rsidRPr="008343E1">
        <w:rPr>
          <w:rFonts w:ascii="Calibri" w:hAnsi="Calibri"/>
          <w:szCs w:val="24"/>
          <w:lang w:val="en-US"/>
        </w:rPr>
        <w:t>udon class.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Here, 78% of the subjects gave the “logically correct” response here, that the syllogism is invalid. According to proponents of DPTs, subjects seem to bypass logical principles that would otherwise allow them to identify the syllogism as invalid. In this sense, DP theorists appeal to a hypothesized dichotomy between intuitions and reasoning, where reasoning is in broad accord with classical logical principles.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However, as pointed out in §1.2, we suggest that this model is overly rationalistic, and poorly reflects the role of normative reasoning strategies. In general, the suggestion that “biased” responses to the first syllogism requires a normative theoretical system to be </w:t>
      </w:r>
      <w:r w:rsidRPr="008343E1">
        <w:rPr>
          <w:rFonts w:ascii="Calibri" w:hAnsi="Calibri"/>
          <w:i/>
          <w:szCs w:val="24"/>
        </w:rPr>
        <w:t>already in place</w:t>
      </w:r>
      <w:r w:rsidRPr="008343E1">
        <w:rPr>
          <w:rFonts w:ascii="Calibri" w:hAnsi="Calibri"/>
          <w:szCs w:val="24"/>
        </w:rPr>
        <w:t xml:space="preserve"> in the thinker’s cognitive architecture, which is thought to follow the laws of classical logic or probability theory. Given the substantive disputes regarding logical systems that have emerged over the last thirty years or so (concerning, paraconsistent logics, relevant logics, non-monotonic logics, and so on) this appears overly parochial. Resultantly, we prefer to employ the phrase “doxastic conservativeness” </w:t>
      </w:r>
      <w:r w:rsidR="00B95C5E" w:rsidRPr="008343E1">
        <w:rPr>
          <w:rFonts w:ascii="Calibri" w:hAnsi="Calibri"/>
          <w:szCs w:val="24"/>
        </w:rPr>
        <w:t>[</w:t>
      </w:r>
      <w:r w:rsidRPr="008343E1">
        <w:rPr>
          <w:rFonts w:ascii="Calibri" w:hAnsi="Calibri"/>
          <w:szCs w:val="24"/>
        </w:rPr>
        <w:t xml:space="preserve">Dutilh Novaes </w:t>
      </w:r>
      <w:r w:rsidR="00B95C5E" w:rsidRPr="008343E1">
        <w:rPr>
          <w:rFonts w:ascii="Calibri" w:hAnsi="Calibri"/>
          <w:szCs w:val="24"/>
        </w:rPr>
        <w:t>(</w:t>
      </w:r>
      <w:r w:rsidRPr="008343E1">
        <w:rPr>
          <w:rFonts w:ascii="Calibri" w:hAnsi="Calibri"/>
          <w:szCs w:val="24"/>
        </w:rPr>
        <w:t>2012)</w:t>
      </w:r>
      <w:r w:rsidR="00B95C5E" w:rsidRPr="008343E1">
        <w:rPr>
          <w:rFonts w:ascii="Calibri" w:hAnsi="Calibri"/>
          <w:szCs w:val="24"/>
        </w:rPr>
        <w:t>]</w:t>
      </w:r>
      <w:r w:rsidRPr="008343E1">
        <w:rPr>
          <w:rFonts w:ascii="Calibri" w:hAnsi="Calibri"/>
          <w:szCs w:val="24"/>
        </w:rPr>
        <w:t xml:space="preserve"> to characterise the tendency of reasoners to bring to bear prior beliefs on the assessment of argument. </w:t>
      </w:r>
    </w:p>
    <w:p w:rsidR="000708F8" w:rsidRPr="008343E1" w:rsidRDefault="000708F8" w:rsidP="00C735CD">
      <w:pPr>
        <w:spacing w:after="200" w:line="276" w:lineRule="auto"/>
        <w:rPr>
          <w:rFonts w:ascii="Calibri" w:hAnsi="Calibri"/>
          <w:szCs w:val="24"/>
          <w:lang w:val="en-US"/>
        </w:rPr>
      </w:pPr>
      <w:r w:rsidRPr="008343E1">
        <w:rPr>
          <w:rFonts w:ascii="Calibri" w:hAnsi="Calibri"/>
          <w:szCs w:val="24"/>
        </w:rPr>
        <w:t xml:space="preserve">RSA provides a promising explanation that models doxastic conservativeness in this experiment as follows. </w:t>
      </w:r>
      <w:r w:rsidRPr="008343E1">
        <w:rPr>
          <w:rFonts w:ascii="Calibri" w:hAnsi="Calibri"/>
          <w:szCs w:val="24"/>
          <w:lang w:val="en-US"/>
        </w:rPr>
        <w:t xml:space="preserve">Recall, from §2, three key elements of the RSA model that play a crucial role in explaining the obtained result from the invalid syllogism experiment. </w:t>
      </w:r>
    </w:p>
    <w:p w:rsidR="000708F8" w:rsidRPr="008343E1" w:rsidRDefault="000708F8" w:rsidP="00824B2D">
      <w:pPr>
        <w:numPr>
          <w:ilvl w:val="0"/>
          <w:numId w:val="3"/>
        </w:numPr>
        <w:spacing w:after="200" w:line="276" w:lineRule="auto"/>
        <w:ind w:left="709" w:hanging="425"/>
        <w:rPr>
          <w:rFonts w:ascii="Calibri" w:hAnsi="Calibri"/>
          <w:szCs w:val="24"/>
          <w:lang w:val="en-US"/>
        </w:rPr>
      </w:pPr>
      <w:r w:rsidRPr="008343E1">
        <w:rPr>
          <w:rFonts w:ascii="Calibri" w:hAnsi="Calibri"/>
          <w:szCs w:val="24"/>
          <w:lang w:val="en-US"/>
        </w:rPr>
        <w:t xml:space="preserve">Thinking is influenced by connection weights between associated representations. </w:t>
      </w:r>
    </w:p>
    <w:p w:rsidR="000708F8" w:rsidRPr="008343E1" w:rsidRDefault="000708F8" w:rsidP="00824B2D">
      <w:pPr>
        <w:numPr>
          <w:ilvl w:val="0"/>
          <w:numId w:val="3"/>
        </w:numPr>
        <w:spacing w:after="200" w:line="276" w:lineRule="auto"/>
        <w:ind w:left="709" w:hanging="425"/>
        <w:rPr>
          <w:rFonts w:ascii="Calibri" w:hAnsi="Calibri"/>
          <w:szCs w:val="24"/>
          <w:lang w:val="en-US"/>
        </w:rPr>
      </w:pPr>
      <w:r w:rsidRPr="008343E1">
        <w:rPr>
          <w:rFonts w:ascii="Calibri" w:hAnsi="Calibri"/>
          <w:szCs w:val="24"/>
          <w:lang w:val="en-US"/>
        </w:rPr>
        <w:t xml:space="preserve">RSA appeals to the role of selective attention focusing on aspects of the perceptual stimuli. </w:t>
      </w:r>
    </w:p>
    <w:p w:rsidR="000708F8" w:rsidRPr="008343E1" w:rsidRDefault="000708F8" w:rsidP="00824B2D">
      <w:pPr>
        <w:numPr>
          <w:ilvl w:val="0"/>
          <w:numId w:val="3"/>
        </w:numPr>
        <w:spacing w:after="200" w:line="276" w:lineRule="auto"/>
        <w:ind w:left="709" w:hanging="425"/>
        <w:rPr>
          <w:rFonts w:ascii="Calibri" w:hAnsi="Calibri"/>
          <w:szCs w:val="24"/>
          <w:lang w:val="en-US"/>
        </w:rPr>
      </w:pPr>
      <w:r w:rsidRPr="008343E1">
        <w:rPr>
          <w:rFonts w:ascii="Calibri" w:hAnsi="Calibri"/>
          <w:szCs w:val="24"/>
          <w:lang w:val="en-US"/>
        </w:rPr>
        <w:t xml:space="preserve">Selective attention is driven in a top-down manner by strongly connected stored representations.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Consider the first syllogism. According to DPTs, subjects return the logically false reply because of an intuitive pull, which overrides rational processes. In contrast, we suggest that on confrontation with the syllogism in question subjects attend to certain aspects of premises 1-3. If not seen as a syllogism in which 3 is supposed to follow from 1 and 2, </w:t>
      </w:r>
      <w:r w:rsidRPr="008343E1">
        <w:rPr>
          <w:rFonts w:ascii="Calibri" w:hAnsi="Calibri"/>
          <w:szCs w:val="24"/>
          <w:lang w:val="en-US"/>
        </w:rPr>
        <w:t>i.e.</w:t>
      </w:r>
      <w:r w:rsidRPr="008343E1">
        <w:rPr>
          <w:rFonts w:ascii="Calibri" w:hAnsi="Calibri"/>
          <w:szCs w:val="24"/>
        </w:rPr>
        <w:t xml:space="preserve"> merely by ignoring the predicate ‘Thus’ in (3), then it is rather a list of sentences (as a matter of fact, it is a list of truisms). Given prior beliefs, involving associations between representations of roses and living things, there is a match between the input-sentence “Thus, all rose are living things”, and representations of roses being associated with living things. Given this matching, the subject will feel the intuitive pull to confirm the validity of the syllogism. This, as explained, is due to the automatic representational sub-activation of the association between token representations of roses and living things.</w:t>
      </w:r>
      <w:r w:rsidRPr="008343E1">
        <w:rPr>
          <w:rStyle w:val="EndnoteReference"/>
          <w:rFonts w:ascii="Calibri" w:hAnsi="Calibri"/>
          <w:szCs w:val="24"/>
        </w:rPr>
        <w:endnoteReference w:id="21"/>
      </w:r>
      <w:r w:rsidRPr="008343E1">
        <w:rPr>
          <w:rFonts w:ascii="Calibri" w:hAnsi="Calibri"/>
          <w:szCs w:val="24"/>
        </w:rPr>
        <w:t xml:space="preserve"> Subjects cannot simply disregard the representational content of the words “rose” and the phrase “living things” because of this underlying process.</w:t>
      </w:r>
      <w:r w:rsidRPr="008343E1">
        <w:rPr>
          <w:rStyle w:val="EndnoteReference"/>
          <w:rFonts w:ascii="Calibri" w:hAnsi="Calibri"/>
          <w:szCs w:val="24"/>
        </w:rPr>
        <w:endnoteReference w:id="22"/>
      </w:r>
      <w:r w:rsidRPr="008343E1">
        <w:rPr>
          <w:rFonts w:ascii="Calibri" w:hAnsi="Calibri"/>
          <w:szCs w:val="24"/>
        </w:rPr>
        <w:t xml:space="preserve"> This explains why we display the tendency to make judgments based on extant networks of representations involving doxastic states, emotions, and other mental states.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Had it been the case that the subjects have actually treated the syllogism as a syllogism rather a list of truisms, in the sense explained above, then the same matching would have occurred with representations or stored knowledge about certain logical rules, universal quantifiers, etc. (if the subject was trained in logic). In turn, the intuitive pull would have been against the truism that all roses are living things, and the focus would have been on “Thus” and in turn on the fact that (3) does not follow from (1) &amp; (2). </w:t>
      </w:r>
      <w:r w:rsidRPr="008343E1">
        <w:rPr>
          <w:rStyle w:val="EndnoteReference"/>
          <w:rFonts w:ascii="Calibri" w:hAnsi="Calibri"/>
          <w:szCs w:val="24"/>
        </w:rPr>
        <w:endnoteReference w:id="23"/>
      </w:r>
      <w:r w:rsidRPr="008343E1">
        <w:rPr>
          <w:rFonts w:ascii="Calibri" w:hAnsi="Calibri"/>
          <w:szCs w:val="24"/>
        </w:rPr>
        <w:t xml:space="preserve"> In line with what has been said in the second part of the paper, once there is a matching with stored representations, attention will be driven in a top-down manner to search for existential qualifiers in the premises/steps of the syllogism. Given the way the syllogism in question is couched, the intuitive pull to resist the conclusion will be even stronger. This is precisely what we find in the second example, where the syllogism is couched in “foreign terms” that do not activate automatic RSA processes in the same manner, because of lack of representational associations.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Note here that if the subject is not acquainted with norms of classical logic, it might well be the case that they will still accept the invalid conclusion as true. For in this case, there will be no stored representations to allow the subject to resist the conclusion – in essence, this latter case will greatly resemble the original one. Note also that most often it takes some time to form associations between representations (but see footnote 12). It is for this reason that sometimes the intuitive pull for accepting that the invalid conclusion as true, for instance, lingers on even after it has been explained to the subjects that this syllogism contradicts the norms of classical logic. Hence, there is no need to invoke a dualistic cognitive architecture here that assumes the canons of classical reasoning. </w:t>
      </w:r>
    </w:p>
    <w:p w:rsidR="000708F8" w:rsidRPr="008343E1" w:rsidRDefault="000708F8" w:rsidP="00C735CD">
      <w:pPr>
        <w:spacing w:after="200" w:line="276" w:lineRule="auto"/>
        <w:rPr>
          <w:rFonts w:ascii="Calibri" w:hAnsi="Calibri"/>
          <w:szCs w:val="24"/>
        </w:rPr>
      </w:pPr>
      <w:r w:rsidRPr="008343E1">
        <w:rPr>
          <w:rFonts w:ascii="Calibri" w:hAnsi="Calibri"/>
          <w:szCs w:val="24"/>
        </w:rPr>
        <w:t>In the second case, there will not be an intuitive pull towards accepting the syllogism as true since unlike the previous case of the syllogism couched in terms of natural language that the subject understands, there will not be a priming of certain representations. Moreover, if the subject is familiar with certain logical rules, there will be a matching between the inputting representation and stored ones, since the formalization will sub-activate representations associated with logical rules, and so on. In turn, the subject will be primed in a top-down manner to selectively attend to the structure of the syllogism.</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The above suggestions also explain why so-called ‘T-2’ processes are themselves susceptible to “biases”, precisely because they are not distinct cognitive processes. As it happens, there is only one kind of reasoning process, which just happens to occur by deployment of different sets of representations in each of the two cases (formalised and non-formalised syllogism). </w:t>
      </w:r>
      <w:proofErr w:type="gramStart"/>
      <w:r w:rsidRPr="008343E1">
        <w:rPr>
          <w:rFonts w:ascii="Calibri" w:hAnsi="Calibri"/>
          <w:szCs w:val="24"/>
        </w:rPr>
        <w:t>In this sense, awareness of one’s own reasoning processes can increase bias through post-rationalisation of the RSA process.</w:t>
      </w:r>
      <w:proofErr w:type="gramEnd"/>
      <w:r w:rsidRPr="008343E1">
        <w:rPr>
          <w:rStyle w:val="EndnoteReference"/>
          <w:rFonts w:ascii="Calibri" w:hAnsi="Calibri"/>
          <w:szCs w:val="24"/>
        </w:rPr>
        <w:endnoteReference w:id="24"/>
      </w:r>
      <w:r w:rsidRPr="008343E1">
        <w:rPr>
          <w:rFonts w:ascii="Calibri" w:hAnsi="Calibri"/>
          <w:szCs w:val="24"/>
        </w:rPr>
        <w:t xml:space="preserve"> </w:t>
      </w:r>
    </w:p>
    <w:p w:rsidR="000708F8" w:rsidRPr="008343E1" w:rsidRDefault="000708F8" w:rsidP="00C735CD">
      <w:pPr>
        <w:spacing w:after="200" w:line="276" w:lineRule="auto"/>
        <w:rPr>
          <w:rFonts w:ascii="Calibri" w:hAnsi="Calibri"/>
          <w:szCs w:val="24"/>
          <w:lang w:val="en-US"/>
        </w:rPr>
      </w:pPr>
      <w:r w:rsidRPr="008343E1">
        <w:rPr>
          <w:rFonts w:ascii="Calibri" w:hAnsi="Calibri"/>
          <w:szCs w:val="24"/>
        </w:rPr>
        <w:t xml:space="preserve">As already noted, most often it takes time in order to form associations between representations, and, in order to do that, the subject needs to consciously attend to specific aspects of the stimuli. For instance, learning the validity of syllogisms is a slow and progressive process. However, once a certain level of strengths between different representations is reached, the activation of one of those associations will trigger sub-activation (or full blown activation) of other associated representations. In this sense, the representations that required selective attention in order to get formed, stored and triggered can in time be activated automatically merely in virtue of one representation of the set in question being triggered. In turn, the more automatic this activation pattern becomes, the more intuitive their phenomenology – so to speak – becomes. Thus, the RSA account is in a position to account for the learning processes involved in, for example, critical thinking, logic, and mathematics. </w:t>
      </w:r>
      <w:r w:rsidRPr="008343E1">
        <w:rPr>
          <w:rFonts w:ascii="Calibri" w:hAnsi="Calibri"/>
          <w:szCs w:val="24"/>
          <w:lang w:val="en-US"/>
        </w:rPr>
        <w:t>It is possible to see how a learning process will allow processes that begin slowly and consciously (such as learning the validity of syllogisms), to become automatic, since that process will effectively prime RSA to form new associations.</w:t>
      </w:r>
    </w:p>
    <w:p w:rsidR="000708F8" w:rsidRPr="008343E1" w:rsidRDefault="000708F8" w:rsidP="00C735CD">
      <w:pPr>
        <w:spacing w:after="200" w:line="276" w:lineRule="auto"/>
        <w:rPr>
          <w:rFonts w:ascii="Calibri" w:hAnsi="Calibri"/>
          <w:szCs w:val="24"/>
          <w:lang w:val="en-US"/>
        </w:rPr>
      </w:pPr>
    </w:p>
    <w:p w:rsidR="000708F8" w:rsidRPr="008343E1" w:rsidRDefault="000708F8" w:rsidP="00C735CD">
      <w:pPr>
        <w:spacing w:after="200" w:line="276" w:lineRule="auto"/>
        <w:rPr>
          <w:rFonts w:ascii="Calibri" w:hAnsi="Calibri"/>
          <w:b/>
          <w:szCs w:val="24"/>
        </w:rPr>
      </w:pPr>
      <w:r w:rsidRPr="008343E1">
        <w:rPr>
          <w:rFonts w:ascii="Calibri" w:hAnsi="Calibri"/>
          <w:b/>
          <w:szCs w:val="24"/>
        </w:rPr>
        <w:t xml:space="preserve">4. RSA &amp; empirical evidence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In this section, we evaluate the RSA ‘model’ against the empirical evidence that we cited earlier against DPTs, and examine whether the suggestion that we put forth here can accommodate it.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Recall the aforementioned evidence from work on no-conflict tasks. De Neys </w:t>
      </w:r>
      <w:r w:rsidR="00DD38DE" w:rsidRPr="008343E1">
        <w:rPr>
          <w:rFonts w:ascii="Calibri" w:hAnsi="Calibri"/>
          <w:szCs w:val="24"/>
        </w:rPr>
        <w:t>[</w:t>
      </w:r>
      <w:r w:rsidRPr="008343E1">
        <w:rPr>
          <w:rFonts w:ascii="Calibri" w:hAnsi="Calibri"/>
          <w:szCs w:val="24"/>
        </w:rPr>
        <w:t>(2006b)</w:t>
      </w:r>
      <w:r w:rsidR="00DD38DE" w:rsidRPr="008343E1">
        <w:rPr>
          <w:rFonts w:ascii="Calibri" w:hAnsi="Calibri"/>
          <w:szCs w:val="24"/>
        </w:rPr>
        <w:t>]</w:t>
      </w:r>
      <w:r w:rsidRPr="008343E1">
        <w:rPr>
          <w:rFonts w:ascii="Calibri" w:hAnsi="Calibri"/>
          <w:szCs w:val="24"/>
        </w:rPr>
        <w:t xml:space="preserve"> reports that performance was near ceiling and that there was no loading on Working Memory. DPTs predict these results by arguing that participants relied upon real world knowledge – in evaluating the syllogisms in question. In turn, relying upon world knowledge is significantly easier than implementing rules of logic in assessing a syllogism’s validity (since it uses less cognitive resources).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According to RSA, </w:t>
      </w:r>
      <w:proofErr w:type="gramStart"/>
      <w:r w:rsidRPr="008343E1">
        <w:rPr>
          <w:rFonts w:ascii="Calibri" w:hAnsi="Calibri"/>
          <w:szCs w:val="24"/>
        </w:rPr>
        <w:t>the knowledge upon which participants rely is captured by stronger associations</w:t>
      </w:r>
      <w:proofErr w:type="gramEnd"/>
      <w:r w:rsidRPr="008343E1">
        <w:rPr>
          <w:rFonts w:ascii="Calibri" w:hAnsi="Calibri"/>
          <w:szCs w:val="24"/>
        </w:rPr>
        <w:t xml:space="preserve">. In this sense, there will be some loadings on WM but this will be less than when dealing with conflict syllogisms. Nonetheless, there will be some loading on WM regardless of the difficulty of the task (see below). The more practised subjects are in performing similar tasks, and in turn the closer to automaticity such evaluation processes get, the less taxing processing of similar tasks will become on WM.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Recall also the rather simple, empirically verified </w:t>
      </w:r>
      <w:r w:rsidR="00CC7B1F" w:rsidRPr="008343E1">
        <w:rPr>
          <w:rFonts w:ascii="Calibri" w:hAnsi="Calibri"/>
          <w:szCs w:val="24"/>
        </w:rPr>
        <w:t>[</w:t>
      </w:r>
      <w:r w:rsidRPr="008343E1">
        <w:rPr>
          <w:rFonts w:ascii="Calibri" w:hAnsi="Calibri"/>
          <w:szCs w:val="24"/>
        </w:rPr>
        <w:t xml:space="preserve">De Neys </w:t>
      </w:r>
      <w:r w:rsidR="00CC7B1F" w:rsidRPr="008343E1">
        <w:rPr>
          <w:rFonts w:ascii="Calibri" w:hAnsi="Calibri"/>
          <w:szCs w:val="24"/>
        </w:rPr>
        <w:t>(</w:t>
      </w:r>
      <w:r w:rsidRPr="008343E1">
        <w:rPr>
          <w:rFonts w:ascii="Calibri" w:hAnsi="Calibri"/>
          <w:szCs w:val="24"/>
        </w:rPr>
        <w:t>2006b)</w:t>
      </w:r>
      <w:r w:rsidR="00CC7B1F" w:rsidRPr="008343E1">
        <w:rPr>
          <w:rFonts w:ascii="Calibri" w:hAnsi="Calibri"/>
          <w:szCs w:val="24"/>
        </w:rPr>
        <w:t>]</w:t>
      </w:r>
      <w:r w:rsidRPr="008343E1">
        <w:rPr>
          <w:rFonts w:ascii="Calibri" w:hAnsi="Calibri"/>
          <w:szCs w:val="24"/>
        </w:rPr>
        <w:t>, DPTs prediction that T-2 processes underpin conflict tasks evaluation. For, conflict syllogisms are difficult to evaluate and, thus, there should be an effect of WM load.  Even though it is plausible to assume that conflict syllogisms are harder to evaluate, we disagree with how DPTs explain this evidence. Recall that DPTs argue that when logic and belief disagree, subjects appeal to the believability of the conclusion. In turn, they will find it harder to integrate the premises and conclusion of a conflict syllogism since this integration challenges their prior world knowledge (conflict syllogisms).</w:t>
      </w:r>
      <w:r w:rsidRPr="008343E1">
        <w:rPr>
          <w:rStyle w:val="EndnoteReference"/>
          <w:rFonts w:ascii="Calibri" w:hAnsi="Calibri"/>
          <w:szCs w:val="24"/>
        </w:rPr>
        <w:endnoteReference w:id="25"/>
      </w:r>
      <w:r w:rsidRPr="008343E1">
        <w:rPr>
          <w:rFonts w:ascii="Calibri" w:hAnsi="Calibri"/>
          <w:szCs w:val="24"/>
        </w:rPr>
        <w:t xml:space="preserve"> </w:t>
      </w:r>
    </w:p>
    <w:p w:rsidR="000708F8" w:rsidRPr="008343E1" w:rsidRDefault="000708F8" w:rsidP="00C735CD">
      <w:pPr>
        <w:spacing w:after="200" w:line="276" w:lineRule="auto"/>
        <w:rPr>
          <w:rFonts w:ascii="Calibri" w:hAnsi="Calibri"/>
          <w:szCs w:val="24"/>
        </w:rPr>
      </w:pPr>
      <w:r w:rsidRPr="008343E1">
        <w:rPr>
          <w:rFonts w:ascii="Calibri" w:hAnsi="Calibri"/>
          <w:szCs w:val="24"/>
        </w:rPr>
        <w:t>In contrast, we argue that the difficulty in assessing conflict syllogisms stems from the principles of Hebbian learning. Briefly, the more frequently certain beliefs co-occur, the stronger the associations between representations that ground them. Given that conflicting ideas do not co-occur very often, the representations that ground them are only weakly connected – if at all. Thus, in cases of conflict syllogisms participants do not have the ‘disposition’ to infer the conclusion from the premises. Without this disposition in place to drive selective attention to the aspects of the syllogism that refer to principles of logic, e.g. structure of the syllogism, the word ‘Thus’, etc., they attend to words of the syllogisms that couch these conflicting beliefs. Thus, in essence, they bring to bear prior beliefs while assessing the syllogism in question (doxastic conservativeness). Given weak associations between these beliefs, participants end up evaluating in detail the associated semantics, which clearly is a cognitively taxing process</w:t>
      </w:r>
      <w:r w:rsidR="00297C7E">
        <w:rPr>
          <w:rFonts w:ascii="Calibri" w:hAnsi="Calibri"/>
          <w:szCs w:val="24"/>
        </w:rPr>
        <w:t>.</w:t>
      </w:r>
    </w:p>
    <w:p w:rsidR="000708F8" w:rsidRPr="008343E1" w:rsidRDefault="000708F8" w:rsidP="00C735CD">
      <w:pPr>
        <w:numPr>
          <w:ilvl w:val="0"/>
          <w:numId w:val="31"/>
        </w:numPr>
        <w:spacing w:after="200" w:line="276" w:lineRule="auto"/>
        <w:ind w:left="284"/>
        <w:rPr>
          <w:rFonts w:ascii="Calibri" w:hAnsi="Calibri"/>
          <w:i/>
          <w:szCs w:val="24"/>
        </w:rPr>
      </w:pPr>
      <w:r w:rsidRPr="008343E1">
        <w:rPr>
          <w:rFonts w:ascii="Calibri" w:hAnsi="Calibri"/>
          <w:i/>
          <w:szCs w:val="24"/>
        </w:rPr>
        <w:t>WMC &amp; accuracy levels</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Recall also that regardless of the WMC of participants evaluating syllogisms, the accuracy of their performance was severely affected as the load increased. At first glance, this runs against our claims that reasoning, as well as intuitions, is influenced by connection weights. For, this claim might be taken to imply that activation of strongly associated representations will not have to go through WM, and thus accuracy levels will be unaffected by WM loadings. The principles of Hebbian learning seem to imply that activation of neuronal group </w:t>
      </w:r>
      <w:r w:rsidRPr="008343E1">
        <w:rPr>
          <w:rFonts w:ascii="Calibri" w:hAnsi="Calibri"/>
          <w:smallCaps/>
          <w:szCs w:val="24"/>
        </w:rPr>
        <w:t>X</w:t>
      </w:r>
      <w:r w:rsidRPr="008343E1">
        <w:rPr>
          <w:rFonts w:ascii="Calibri" w:hAnsi="Calibri"/>
          <w:szCs w:val="24"/>
        </w:rPr>
        <w:t xml:space="preserve"> will ‘automatically’ trigger neuronal group </w:t>
      </w:r>
      <w:r w:rsidRPr="008343E1">
        <w:rPr>
          <w:rFonts w:ascii="Calibri" w:hAnsi="Calibri"/>
          <w:smallCaps/>
          <w:szCs w:val="24"/>
        </w:rPr>
        <w:t>Y</w:t>
      </w:r>
      <w:r w:rsidRPr="008343E1">
        <w:rPr>
          <w:rFonts w:ascii="Calibri" w:hAnsi="Calibri"/>
          <w:szCs w:val="24"/>
        </w:rPr>
        <w:t xml:space="preserve">, and so forth. </w:t>
      </w:r>
    </w:p>
    <w:p w:rsidR="000708F8" w:rsidRPr="008343E1" w:rsidRDefault="000708F8" w:rsidP="00C735CD">
      <w:pPr>
        <w:spacing w:after="200" w:line="276" w:lineRule="auto"/>
        <w:rPr>
          <w:rFonts w:ascii="Calibri" w:hAnsi="Calibri"/>
          <w:szCs w:val="24"/>
        </w:rPr>
      </w:pPr>
      <w:r w:rsidRPr="008343E1">
        <w:rPr>
          <w:rFonts w:ascii="Calibri" w:hAnsi="Calibri"/>
          <w:szCs w:val="24"/>
        </w:rPr>
        <w:t>However, RSA does not render reasoning immune to WM loadings. In fact, there are strong interdependencies between attention and WM.</w:t>
      </w:r>
      <w:r w:rsidRPr="008343E1">
        <w:rPr>
          <w:rStyle w:val="EndnoteReference"/>
          <w:rFonts w:ascii="Calibri" w:hAnsi="Calibri"/>
          <w:szCs w:val="24"/>
        </w:rPr>
        <w:endnoteReference w:id="26"/>
      </w:r>
      <w:r w:rsidRPr="008343E1">
        <w:rPr>
          <w:rFonts w:ascii="Calibri" w:hAnsi="Calibri"/>
          <w:szCs w:val="24"/>
        </w:rPr>
        <w:t xml:space="preserve"> Let </w:t>
      </w:r>
      <w:proofErr w:type="gramStart"/>
      <w:r w:rsidRPr="008343E1">
        <w:rPr>
          <w:rFonts w:ascii="Calibri" w:hAnsi="Calibri"/>
          <w:szCs w:val="24"/>
        </w:rPr>
        <w:t>us</w:t>
      </w:r>
      <w:proofErr w:type="gramEnd"/>
      <w:r w:rsidRPr="008343E1">
        <w:rPr>
          <w:rFonts w:ascii="Calibri" w:hAnsi="Calibri"/>
          <w:szCs w:val="24"/>
        </w:rPr>
        <w:t xml:space="preserve"> elaborate. Recall that dispositions are analysable in terms of stronger associations between representations. One of the effects that these associations have on perception is that they can drive selective attention to certain aspects of the perceived stimulus, e.g., the structure of a syllogism and treat it as such instead of as a list of truisms. Crucially, in order for attended information to contribute to higher cognitive processes such as reasoning, this information has to be accessible by WM – (presumably this precondition might become less pronounced as a given process becomes automatic). Thus, despite the top-down urge to attend to certain aspects of the stimulus, if WM is loaded, the attended information will not be accessible/usable during evaluating the syllogism in question. </w:t>
      </w:r>
    </w:p>
    <w:p w:rsidR="000708F8" w:rsidRPr="008343E1" w:rsidRDefault="000708F8" w:rsidP="00C735CD">
      <w:pPr>
        <w:spacing w:after="200" w:line="276" w:lineRule="auto"/>
        <w:rPr>
          <w:rFonts w:ascii="Calibri" w:hAnsi="Calibri"/>
          <w:szCs w:val="24"/>
        </w:rPr>
      </w:pPr>
      <w:r w:rsidRPr="008343E1">
        <w:rPr>
          <w:rFonts w:ascii="Calibri" w:hAnsi="Calibri"/>
          <w:szCs w:val="24"/>
        </w:rPr>
        <w:t xml:space="preserve">As we saw above, according to DPTs, subjects with high WMC should show an effect of WM loadings, given that they are using analytic processes, which typically slow and drain WMC. This prediction has not been empirically verified. Instead subjects with low WMC perform worse than those with high WMC, </w:t>
      </w:r>
      <w:r w:rsidR="009F3650" w:rsidRPr="008343E1">
        <w:rPr>
          <w:rFonts w:ascii="Calibri" w:hAnsi="Calibri"/>
          <w:szCs w:val="24"/>
        </w:rPr>
        <w:t>[</w:t>
      </w:r>
      <w:r w:rsidRPr="008343E1">
        <w:rPr>
          <w:rFonts w:ascii="Calibri" w:hAnsi="Calibri"/>
          <w:szCs w:val="24"/>
        </w:rPr>
        <w:t xml:space="preserve">De Neys </w:t>
      </w:r>
      <w:r w:rsidR="009F3650" w:rsidRPr="008343E1">
        <w:rPr>
          <w:rFonts w:ascii="Calibri" w:hAnsi="Calibri"/>
          <w:szCs w:val="24"/>
        </w:rPr>
        <w:t>(</w:t>
      </w:r>
      <w:r w:rsidRPr="008343E1">
        <w:rPr>
          <w:rFonts w:ascii="Calibri" w:hAnsi="Calibri"/>
          <w:szCs w:val="24"/>
        </w:rPr>
        <w:t>2006b)</w:t>
      </w:r>
      <w:r w:rsidR="009F3650" w:rsidRPr="008343E1">
        <w:rPr>
          <w:rFonts w:ascii="Calibri" w:hAnsi="Calibri"/>
          <w:szCs w:val="24"/>
        </w:rPr>
        <w:t>]</w:t>
      </w:r>
      <w:r w:rsidRPr="008343E1">
        <w:rPr>
          <w:rFonts w:ascii="Calibri" w:hAnsi="Calibri"/>
          <w:szCs w:val="24"/>
        </w:rPr>
        <w:t>. In line with the latter piece of evidence, we argue that subjects with high WMC can exploit attended-information to a greater extent when compared to low WMC subjects, simply because processing of attended information requires WM. Thus, it is not appropriate to treat WMC in a ‘use-more-if-you-can-afford-it’ manner. Rather, it is more plausible to assume that only the WM resources necessary for a specific task will be used/deployed, while the remaining WM capacity is standing by. Thus, we expect loading of WM regardless of WMC, even though subjects with higher WMC are (ceteris paribus) expected to be more accurate either in the selection task or the dot memory test or at both.</w:t>
      </w:r>
    </w:p>
    <w:p w:rsidR="00C735CD" w:rsidRPr="008343E1" w:rsidRDefault="000708F8" w:rsidP="00277091">
      <w:pPr>
        <w:widowControl w:val="0"/>
        <w:autoSpaceDE w:val="0"/>
        <w:autoSpaceDN w:val="0"/>
        <w:adjustRightInd w:val="0"/>
        <w:spacing w:after="200" w:line="276" w:lineRule="auto"/>
        <w:rPr>
          <w:rFonts w:ascii="Calibri" w:hAnsi="Calibri"/>
          <w:szCs w:val="24"/>
          <w:lang w:eastAsia="en-US"/>
        </w:rPr>
      </w:pPr>
      <w:r w:rsidRPr="008343E1">
        <w:rPr>
          <w:rFonts w:ascii="Calibri" w:hAnsi="Calibri"/>
          <w:szCs w:val="24"/>
        </w:rPr>
        <w:t>According to DPTs, accuracy levels in deontic tasks should not be affected by WM loadings. In contrast, WM loadings do have effects on accuracy in indicative tasks – this prediction has not been verified. Specifically, the reported results show that WM loadings have a negative effect on accuracy levels (poorer performance when compared to no WM loads) on both deontic and indicative versions of the selection task (</w:t>
      </w:r>
      <w:r w:rsidR="000E1187">
        <w:rPr>
          <w:rFonts w:ascii="Calibri" w:hAnsi="Calibri"/>
          <w:szCs w:val="24"/>
        </w:rPr>
        <w:t>[</w:t>
      </w:r>
      <w:r w:rsidRPr="008343E1">
        <w:rPr>
          <w:rFonts w:ascii="Calibri" w:hAnsi="Calibri"/>
          <w:szCs w:val="24"/>
        </w:rPr>
        <w:t xml:space="preserve">De Neys </w:t>
      </w:r>
      <w:r w:rsidR="000E1187">
        <w:rPr>
          <w:rFonts w:ascii="Calibri" w:hAnsi="Calibri"/>
          <w:szCs w:val="24"/>
        </w:rPr>
        <w:t>(</w:t>
      </w:r>
      <w:r w:rsidRPr="008343E1">
        <w:rPr>
          <w:rFonts w:ascii="Calibri" w:hAnsi="Calibri"/>
          <w:szCs w:val="24"/>
        </w:rPr>
        <w:t>2006b</w:t>
      </w:r>
      <w:r w:rsidR="000E1187">
        <w:rPr>
          <w:rFonts w:ascii="Calibri" w:hAnsi="Calibri"/>
          <w:szCs w:val="24"/>
        </w:rPr>
        <w:t>)</w:t>
      </w:r>
      <w:r w:rsidRPr="008343E1">
        <w:rPr>
          <w:rFonts w:ascii="Calibri" w:hAnsi="Calibri"/>
          <w:szCs w:val="24"/>
        </w:rPr>
        <w:t>; Oaksford,</w:t>
      </w:r>
      <w:r w:rsidR="000E1187">
        <w:rPr>
          <w:rFonts w:ascii="Calibri" w:hAnsi="Calibri"/>
          <w:szCs w:val="24"/>
        </w:rPr>
        <w:t xml:space="preserve"> Morris, Grainger, and Williams</w:t>
      </w:r>
      <w:r w:rsidRPr="008343E1">
        <w:rPr>
          <w:rFonts w:ascii="Calibri" w:hAnsi="Calibri"/>
          <w:szCs w:val="24"/>
        </w:rPr>
        <w:t xml:space="preserve"> </w:t>
      </w:r>
      <w:r w:rsidR="000E1187">
        <w:rPr>
          <w:rFonts w:ascii="Calibri" w:hAnsi="Calibri"/>
          <w:szCs w:val="24"/>
        </w:rPr>
        <w:t>(</w:t>
      </w:r>
      <w:r w:rsidRPr="008343E1">
        <w:rPr>
          <w:rFonts w:ascii="Calibri" w:hAnsi="Calibri"/>
          <w:szCs w:val="24"/>
        </w:rPr>
        <w:t>1996)</w:t>
      </w:r>
      <w:r w:rsidR="000E1187">
        <w:rPr>
          <w:rFonts w:ascii="Calibri" w:hAnsi="Calibri"/>
          <w:szCs w:val="24"/>
        </w:rPr>
        <w:t>])</w:t>
      </w:r>
      <w:r w:rsidRPr="008343E1">
        <w:rPr>
          <w:rFonts w:ascii="Calibri" w:hAnsi="Calibri"/>
          <w:szCs w:val="24"/>
        </w:rPr>
        <w:t>. It thus seems plausible that reasoning in both deontic and indicative tasks requires WM. In turn, this contrasts with DPTs and is suggestive of a unitary cognitive system.</w:t>
      </w:r>
      <w:r w:rsidRPr="008343E1">
        <w:rPr>
          <w:rStyle w:val="EndnoteReference"/>
          <w:rFonts w:ascii="Calibri" w:hAnsi="Calibri"/>
          <w:szCs w:val="24"/>
        </w:rPr>
        <w:endnoteReference w:id="27"/>
      </w:r>
      <w:r w:rsidRPr="008343E1">
        <w:rPr>
          <w:rFonts w:ascii="Calibri" w:hAnsi="Calibri"/>
          <w:szCs w:val="24"/>
        </w:rPr>
        <w:t xml:space="preserve"> </w:t>
      </w:r>
    </w:p>
    <w:p w:rsidR="00C735CD" w:rsidRPr="008343E1" w:rsidRDefault="00C735CD" w:rsidP="00C735CD">
      <w:pPr>
        <w:numPr>
          <w:ilvl w:val="0"/>
          <w:numId w:val="29"/>
        </w:numPr>
        <w:spacing w:after="200" w:line="276" w:lineRule="auto"/>
        <w:ind w:left="284"/>
        <w:rPr>
          <w:rFonts w:ascii="Calibri" w:hAnsi="Calibri"/>
          <w:i/>
          <w:szCs w:val="24"/>
        </w:rPr>
      </w:pPr>
      <w:r w:rsidRPr="008343E1">
        <w:rPr>
          <w:rFonts w:ascii="Calibri" w:hAnsi="Calibri"/>
          <w:i/>
          <w:szCs w:val="24"/>
        </w:rPr>
        <w:t xml:space="preserve">Why accuracy levels were higher in deontic tasks? </w:t>
      </w:r>
    </w:p>
    <w:p w:rsidR="00C735CD" w:rsidRPr="008343E1" w:rsidRDefault="00C735CD" w:rsidP="00C735CD">
      <w:pPr>
        <w:spacing w:after="200" w:line="276" w:lineRule="auto"/>
        <w:rPr>
          <w:rFonts w:ascii="Calibri" w:hAnsi="Calibri"/>
          <w:szCs w:val="24"/>
        </w:rPr>
      </w:pPr>
      <w:r w:rsidRPr="008343E1">
        <w:rPr>
          <w:rFonts w:ascii="Calibri" w:hAnsi="Calibri"/>
          <w:szCs w:val="24"/>
        </w:rPr>
        <w:t xml:space="preserve">According to RSA, accuracy levels in deontic tasks are higher – in comparison to indicative ones – given that deontic tasks concern well-known regulations. Intuitively, well-known regulations are underpinned by strongly interconnected representations. In turn, there will be top-down effects on perception of the deontic task, which will be processed in light of existing dispositions/biases. RSA predicts these results, given the role that it ascribes to prior experiences in reasoning.  </w:t>
      </w:r>
    </w:p>
    <w:p w:rsidR="00C735CD" w:rsidRPr="008343E1" w:rsidRDefault="00154B0E" w:rsidP="00C735CD">
      <w:pPr>
        <w:spacing w:after="200" w:line="276" w:lineRule="auto"/>
        <w:rPr>
          <w:rFonts w:ascii="Calibri" w:hAnsi="Calibri"/>
          <w:i/>
          <w:szCs w:val="24"/>
        </w:rPr>
      </w:pPr>
      <w:r w:rsidRPr="008343E1">
        <w:rPr>
          <w:rFonts w:ascii="Calibri" w:hAnsi="Calibri"/>
        </w:rPr>
        <w:t xml:space="preserve">An alternative interpretation of the performance results in deontic tasks comes from Stenning and van Lambalgen </w:t>
      </w:r>
      <w:r w:rsidR="0016105F" w:rsidRPr="008343E1">
        <w:rPr>
          <w:rFonts w:ascii="Calibri" w:hAnsi="Calibri"/>
        </w:rPr>
        <w:t>[</w:t>
      </w:r>
      <w:r w:rsidRPr="008343E1">
        <w:rPr>
          <w:rFonts w:ascii="Calibri" w:hAnsi="Calibri"/>
        </w:rPr>
        <w:t>(2004)</w:t>
      </w:r>
      <w:r w:rsidR="0016105F" w:rsidRPr="008343E1">
        <w:rPr>
          <w:rFonts w:ascii="Calibri" w:hAnsi="Calibri"/>
        </w:rPr>
        <w:t>]</w:t>
      </w:r>
      <w:r w:rsidRPr="008343E1">
        <w:rPr>
          <w:rFonts w:ascii="Calibri" w:hAnsi="Calibri"/>
        </w:rPr>
        <w:t xml:space="preserve">. Their prediction is that descriptive/indicative tasks will be highly problematical and deontic tasks rather straightforward. As shown above, this prediction is confirmed by the results. In more detail, their starting point is that the main interpretative problem facing subjects in reasoning tasks is assigning logical form to the task at hand or providing settings for all the involved parameters. The problem, they argue, is that psychology of reasoning has traditionally operated on an oversimplified notion of logical form. Namely, assigning logical form has been traditionally construed as translating a natural language sentence into a formal language with given semantics. Stenning and van Lambalgen expand this notion of logical form and argue that indicative/descriptive and deontic tasks are actually different in terms of logical form. With regards to the strategy subjects follow in reasoning tasks, they argue that most likely subjects do not really know what they are doing but they certainly worry about how to set the parameters of the task. Furthermore, they argue that different subjects adopt different strategies. In light of this focus on the differences in logical form between indicative/descriptive and deontic tasks, the interpretation of DPTs – who focus mainly on WM loadings – </w:t>
      </w:r>
      <w:r w:rsidR="00511298" w:rsidRPr="008343E1">
        <w:rPr>
          <w:rFonts w:ascii="Calibri" w:hAnsi="Calibri"/>
        </w:rPr>
        <w:t xml:space="preserve">is rendered </w:t>
      </w:r>
      <w:r w:rsidRPr="008343E1">
        <w:rPr>
          <w:rFonts w:ascii="Calibri" w:hAnsi="Calibri"/>
        </w:rPr>
        <w:t xml:space="preserve">rather oversimplified. The view suggested here is </w:t>
      </w:r>
      <w:r w:rsidR="00590206" w:rsidRPr="008343E1">
        <w:rPr>
          <w:rFonts w:ascii="Calibri" w:hAnsi="Calibri"/>
        </w:rPr>
        <w:t>‘</w:t>
      </w:r>
      <w:r w:rsidRPr="008343E1">
        <w:rPr>
          <w:rFonts w:ascii="Calibri" w:hAnsi="Calibri"/>
        </w:rPr>
        <w:t>compatible</w:t>
      </w:r>
      <w:r w:rsidR="00590206" w:rsidRPr="008343E1">
        <w:rPr>
          <w:rFonts w:ascii="Calibri" w:hAnsi="Calibri"/>
        </w:rPr>
        <w:t>’</w:t>
      </w:r>
      <w:r w:rsidRPr="008343E1">
        <w:rPr>
          <w:rFonts w:ascii="Calibri" w:hAnsi="Calibri"/>
        </w:rPr>
        <w:t xml:space="preserve"> </w:t>
      </w:r>
      <w:r w:rsidR="008A6B63" w:rsidRPr="008343E1">
        <w:rPr>
          <w:rFonts w:ascii="Calibri" w:hAnsi="Calibri"/>
        </w:rPr>
        <w:t>with</w:t>
      </w:r>
      <w:r w:rsidRPr="008343E1">
        <w:rPr>
          <w:rFonts w:ascii="Calibri" w:hAnsi="Calibri"/>
        </w:rPr>
        <w:t xml:space="preserve"> this alternative view to the extent that it does not focus simply on WM loadings as the main influence of performance at reasoning tasks. As explained above, our focus is (also) on the conceptual networks deployed in reasoning tasks. </w:t>
      </w:r>
      <w:r w:rsidR="00EC1B43" w:rsidRPr="008343E1">
        <w:rPr>
          <w:rFonts w:ascii="Calibri" w:hAnsi="Calibri"/>
        </w:rPr>
        <w:t xml:space="preserve">These networks might also be construed as carrying information concerning logical form. (See </w:t>
      </w:r>
      <w:r w:rsidR="00F73D23" w:rsidRPr="008343E1">
        <w:rPr>
          <w:rFonts w:ascii="Calibri" w:hAnsi="Calibri"/>
        </w:rPr>
        <w:t>[Tillas</w:t>
      </w:r>
      <w:r w:rsidR="00AA7A1D" w:rsidRPr="008343E1">
        <w:rPr>
          <w:rFonts w:ascii="Calibri" w:hAnsi="Calibri"/>
        </w:rPr>
        <w:t xml:space="preserve"> </w:t>
      </w:r>
      <w:r w:rsidR="00F73D23" w:rsidRPr="008343E1">
        <w:rPr>
          <w:rFonts w:ascii="Calibri" w:hAnsi="Calibri"/>
        </w:rPr>
        <w:t>(</w:t>
      </w:r>
      <w:r w:rsidR="00EC1B43" w:rsidRPr="008343E1">
        <w:rPr>
          <w:rFonts w:ascii="Calibri" w:hAnsi="Calibri"/>
        </w:rPr>
        <w:t>2010</w:t>
      </w:r>
      <w:r w:rsidR="00F73D23" w:rsidRPr="008343E1">
        <w:rPr>
          <w:rFonts w:ascii="Calibri" w:hAnsi="Calibri"/>
        </w:rPr>
        <w:t>)</w:t>
      </w:r>
      <w:r w:rsidR="004B2EF6" w:rsidRPr="008343E1">
        <w:rPr>
          <w:rFonts w:ascii="Calibri" w:hAnsi="Calibri"/>
        </w:rPr>
        <w:t>]</w:t>
      </w:r>
      <w:r w:rsidR="00EC1B43" w:rsidRPr="008343E1">
        <w:rPr>
          <w:rFonts w:ascii="Calibri" w:hAnsi="Calibri"/>
        </w:rPr>
        <w:t xml:space="preserve"> for a </w:t>
      </w:r>
      <w:r w:rsidR="007E111F">
        <w:rPr>
          <w:rFonts w:ascii="Calibri" w:hAnsi="Calibri"/>
        </w:rPr>
        <w:t xml:space="preserve">detailed </w:t>
      </w:r>
      <w:r w:rsidR="00EC1B43" w:rsidRPr="008343E1">
        <w:rPr>
          <w:rFonts w:ascii="Calibri" w:hAnsi="Calibri"/>
        </w:rPr>
        <w:t xml:space="preserve">discussion). </w:t>
      </w:r>
    </w:p>
    <w:p w:rsidR="00C735CD" w:rsidRPr="008343E1" w:rsidRDefault="00C735CD" w:rsidP="00C735CD">
      <w:pPr>
        <w:numPr>
          <w:ilvl w:val="0"/>
          <w:numId w:val="28"/>
        </w:numPr>
        <w:spacing w:after="200" w:line="276" w:lineRule="auto"/>
        <w:ind w:left="284"/>
        <w:rPr>
          <w:rFonts w:ascii="Calibri" w:hAnsi="Calibri"/>
          <w:i/>
          <w:szCs w:val="24"/>
        </w:rPr>
      </w:pPr>
      <w:r w:rsidRPr="008343E1">
        <w:rPr>
          <w:rFonts w:ascii="Calibri" w:hAnsi="Calibri"/>
          <w:i/>
          <w:szCs w:val="24"/>
        </w:rPr>
        <w:t xml:space="preserve">In contrast to RSA, results show that participants took longer to respond to deontic tasks (in comparison to indicative tasks). Naturally, given stronger associations, one should expect processing of deontic tasks to be faster than that of indicative ones. </w:t>
      </w:r>
    </w:p>
    <w:p w:rsidR="00C735CD" w:rsidRPr="008343E1" w:rsidRDefault="00C735CD" w:rsidP="00C735CD">
      <w:pPr>
        <w:spacing w:after="200" w:line="276" w:lineRule="auto"/>
        <w:rPr>
          <w:rFonts w:ascii="Calibri" w:hAnsi="Calibri"/>
          <w:szCs w:val="24"/>
        </w:rPr>
      </w:pPr>
      <w:r w:rsidRPr="008343E1">
        <w:rPr>
          <w:rFonts w:ascii="Calibri" w:hAnsi="Calibri"/>
          <w:szCs w:val="24"/>
        </w:rPr>
        <w:t xml:space="preserve">Stronger connections between representations are ultimately stronger connections between neuronal ensembles. In turn, stronger interneural connections allow more current to go through them and thus exhibit facilitatory effects in processing of a given signal. However, the more associated information deployed during a given task, the slower their processing would be, regardless of the speed of processing </w:t>
      </w:r>
      <w:r w:rsidRPr="008343E1">
        <w:rPr>
          <w:rFonts w:ascii="Calibri" w:hAnsi="Calibri"/>
          <w:szCs w:val="24"/>
          <w:lang w:val="en-US"/>
        </w:rPr>
        <w:t xml:space="preserve">of </w:t>
      </w:r>
      <w:r w:rsidRPr="008343E1">
        <w:rPr>
          <w:rFonts w:ascii="Calibri" w:hAnsi="Calibri"/>
          <w:szCs w:val="24"/>
        </w:rPr>
        <w:t>specific bits of information. This is because processing of more information naturally requires more resources. Given that deontic tasks concern well-known regulations, it is likely that a significant amount of information will be associated with these regulations. At least, this associated information will be much greater in comparison to representations of arbitrary rules that the subjects encounter possibly for the first time. Admittedly, the more automatic processing of a given deontic task becomes, the less time a given subject will need to process the deontic task in question. However, this does not imply that processing of deontic tasks should in principle be faster than that of indicative ones.</w:t>
      </w:r>
    </w:p>
    <w:p w:rsidR="00C735CD" w:rsidRPr="008343E1" w:rsidRDefault="00C735CD" w:rsidP="00C735CD">
      <w:pPr>
        <w:numPr>
          <w:ilvl w:val="0"/>
          <w:numId w:val="28"/>
        </w:numPr>
        <w:spacing w:after="200" w:line="276" w:lineRule="auto"/>
        <w:ind w:left="284"/>
        <w:rPr>
          <w:rFonts w:ascii="Calibri" w:hAnsi="Calibri"/>
          <w:i/>
          <w:szCs w:val="24"/>
        </w:rPr>
      </w:pPr>
      <w:r w:rsidRPr="008343E1">
        <w:rPr>
          <w:rFonts w:ascii="Calibri" w:hAnsi="Calibri"/>
          <w:i/>
          <w:szCs w:val="24"/>
        </w:rPr>
        <w:t xml:space="preserve">Regardless of time needed to respond, accuracy levels in deontic tasks were also influenced by WM loadings. </w:t>
      </w:r>
    </w:p>
    <w:p w:rsidR="00C735CD" w:rsidRPr="008343E1" w:rsidRDefault="00C735CD" w:rsidP="00C735CD">
      <w:pPr>
        <w:spacing w:after="200" w:line="276" w:lineRule="auto"/>
        <w:rPr>
          <w:rFonts w:ascii="Calibri" w:hAnsi="Calibri"/>
          <w:szCs w:val="24"/>
        </w:rPr>
      </w:pPr>
      <w:r w:rsidRPr="008343E1">
        <w:rPr>
          <w:rFonts w:ascii="Calibri" w:hAnsi="Calibri"/>
          <w:szCs w:val="24"/>
        </w:rPr>
        <w:t>According to RSA, regardless of where representations deployed in reasoning come from (long-term memory in the case of deontic tasks &amp; short-term in the case of indicative tasks), they need be placed in WM in order to feature in reasoning processes. Naturally, if WM is loaded, then this will have a negative effect on the way that the relevant information becomes deployed in reasoning. For instance, it might be that only a part of this information is actually processed in reasoning, while the rest is processed to a lesser extent or is simply ignored. Thus, loaded WM will naturally yield less accurate results.</w:t>
      </w:r>
    </w:p>
    <w:p w:rsidR="00C735CD" w:rsidRPr="008343E1" w:rsidRDefault="00C735CD" w:rsidP="00C735CD">
      <w:pPr>
        <w:numPr>
          <w:ilvl w:val="0"/>
          <w:numId w:val="28"/>
        </w:numPr>
        <w:spacing w:after="200" w:line="276" w:lineRule="auto"/>
        <w:ind w:left="284"/>
        <w:rPr>
          <w:rFonts w:ascii="Calibri" w:hAnsi="Calibri"/>
          <w:i/>
          <w:szCs w:val="24"/>
        </w:rPr>
      </w:pPr>
      <w:r w:rsidRPr="008343E1">
        <w:rPr>
          <w:rFonts w:ascii="Calibri" w:hAnsi="Calibri"/>
          <w:i/>
          <w:szCs w:val="24"/>
        </w:rPr>
        <w:t xml:space="preserve">Regardless of WM loadings, responses in deontic tasks were reported to be slower than indicative. </w:t>
      </w:r>
    </w:p>
    <w:p w:rsidR="00C735CD" w:rsidRPr="008343E1" w:rsidRDefault="00C735CD" w:rsidP="00C735CD">
      <w:pPr>
        <w:spacing w:after="200" w:line="276" w:lineRule="auto"/>
        <w:rPr>
          <w:rFonts w:ascii="Calibri" w:hAnsi="Calibri"/>
          <w:szCs w:val="24"/>
        </w:rPr>
      </w:pPr>
      <w:r w:rsidRPr="008343E1">
        <w:rPr>
          <w:rFonts w:ascii="Calibri" w:hAnsi="Calibri"/>
          <w:szCs w:val="24"/>
        </w:rPr>
        <w:t xml:space="preserve">In line with the above remarks, the reason why processing of deontic tasks takes longer is because information strongly associated with the information in the deontic task, will inevitably get activated. Given that deontic tasks concern well-known regulations it is more likely that a significant amount of representations is associated to the regulations the tasks concern. In contrast, there is no informational ‘luggage’ in indicative tasks. This is why indicative tasks may yield faster responses. </w:t>
      </w:r>
    </w:p>
    <w:p w:rsidR="00C735CD" w:rsidRPr="008343E1" w:rsidRDefault="00C735CD" w:rsidP="00C735CD">
      <w:pPr>
        <w:spacing w:after="200" w:line="276" w:lineRule="auto"/>
        <w:rPr>
          <w:rFonts w:ascii="Calibri" w:hAnsi="Calibri"/>
          <w:i/>
          <w:szCs w:val="24"/>
        </w:rPr>
      </w:pPr>
    </w:p>
    <w:p w:rsidR="00C735CD" w:rsidRPr="008343E1" w:rsidRDefault="00C735CD" w:rsidP="00C735CD">
      <w:pPr>
        <w:numPr>
          <w:ilvl w:val="0"/>
          <w:numId w:val="28"/>
        </w:numPr>
        <w:spacing w:after="200" w:line="276" w:lineRule="auto"/>
        <w:ind w:left="284"/>
        <w:rPr>
          <w:rFonts w:ascii="Calibri" w:hAnsi="Calibri"/>
          <w:i/>
          <w:szCs w:val="24"/>
        </w:rPr>
      </w:pPr>
      <w:r w:rsidRPr="008343E1">
        <w:rPr>
          <w:rFonts w:ascii="Calibri" w:hAnsi="Calibri"/>
          <w:i/>
          <w:szCs w:val="24"/>
        </w:rPr>
        <w:t xml:space="preserve">Instead of having two kinds of cognitive processes, it might be the case that the same reasoning process generates accurate responses to easier tasks and inaccurate responses to harder tasks, </w:t>
      </w:r>
      <w:r w:rsidR="000F10B6" w:rsidRPr="008343E1">
        <w:rPr>
          <w:rFonts w:ascii="Calibri" w:hAnsi="Calibri"/>
          <w:i/>
          <w:szCs w:val="24"/>
        </w:rPr>
        <w:t>[</w:t>
      </w:r>
      <w:r w:rsidRPr="008343E1">
        <w:rPr>
          <w:rFonts w:ascii="Calibri" w:hAnsi="Calibri"/>
          <w:i/>
          <w:szCs w:val="24"/>
        </w:rPr>
        <w:t xml:space="preserve">Osman </w:t>
      </w:r>
      <w:r w:rsidR="000F10B6" w:rsidRPr="008343E1">
        <w:rPr>
          <w:rFonts w:ascii="Calibri" w:hAnsi="Calibri"/>
          <w:i/>
          <w:szCs w:val="24"/>
        </w:rPr>
        <w:t>(</w:t>
      </w:r>
      <w:r w:rsidRPr="008343E1">
        <w:rPr>
          <w:rFonts w:ascii="Calibri" w:hAnsi="Calibri"/>
          <w:i/>
          <w:szCs w:val="24"/>
        </w:rPr>
        <w:t>2013)</w:t>
      </w:r>
      <w:r w:rsidR="000F10B6" w:rsidRPr="008343E1">
        <w:rPr>
          <w:rFonts w:ascii="Calibri" w:hAnsi="Calibri"/>
          <w:i/>
          <w:szCs w:val="24"/>
        </w:rPr>
        <w:t>]</w:t>
      </w:r>
      <w:r w:rsidRPr="008343E1">
        <w:rPr>
          <w:rFonts w:ascii="Calibri" w:hAnsi="Calibri"/>
          <w:i/>
          <w:szCs w:val="24"/>
        </w:rPr>
        <w:t>.</w:t>
      </w:r>
    </w:p>
    <w:p w:rsidR="00C735CD" w:rsidRPr="008343E1" w:rsidRDefault="00C735CD" w:rsidP="00C735CD">
      <w:pPr>
        <w:spacing w:after="200" w:line="276" w:lineRule="auto"/>
        <w:rPr>
          <w:rFonts w:ascii="Calibri" w:hAnsi="Calibri"/>
          <w:szCs w:val="24"/>
        </w:rPr>
      </w:pPr>
      <w:r w:rsidRPr="008343E1">
        <w:rPr>
          <w:rFonts w:ascii="Calibri" w:hAnsi="Calibri"/>
          <w:szCs w:val="24"/>
        </w:rPr>
        <w:t>This is also something that RSA predicts. Simpler tasks most often concern non-conflicting information, while harder tasks concern conflicting information. As explained, conflicting information are less likely to be associated with stronger connections, if connected at all. More specifically, harder tasks are tasks in which participant have to bring not-strongly-connected-information to WM (via selective attention) and process it. This inevitably leads to slower responses and lower accuracy levels.</w:t>
      </w:r>
    </w:p>
    <w:p w:rsidR="00900F81" w:rsidRPr="008343E1" w:rsidRDefault="00900F81" w:rsidP="00C735CD">
      <w:pPr>
        <w:spacing w:after="200" w:line="276" w:lineRule="auto"/>
        <w:rPr>
          <w:rFonts w:ascii="Calibri" w:hAnsi="Calibri"/>
          <w:szCs w:val="24"/>
        </w:rPr>
      </w:pPr>
    </w:p>
    <w:p w:rsidR="000708F8" w:rsidRPr="008343E1" w:rsidRDefault="000708F8" w:rsidP="000708F8">
      <w:pPr>
        <w:spacing w:after="200" w:line="276" w:lineRule="auto"/>
        <w:jc w:val="left"/>
        <w:rPr>
          <w:rFonts w:ascii="Calibri" w:hAnsi="Calibri"/>
        </w:rPr>
      </w:pPr>
      <w:r w:rsidRPr="008343E1">
        <w:rPr>
          <w:rFonts w:ascii="Calibri" w:hAnsi="Calibri"/>
          <w:b/>
          <w:szCs w:val="24"/>
          <w:lang w:val="en-US"/>
        </w:rPr>
        <w:t>References</w:t>
      </w:r>
    </w:p>
    <w:p w:rsidR="000708F8" w:rsidRPr="008343E1" w:rsidRDefault="000708F8" w:rsidP="000708F8">
      <w:pPr>
        <w:pStyle w:val="ListParagraph"/>
        <w:widowControl w:val="0"/>
        <w:numPr>
          <w:ilvl w:val="0"/>
          <w:numId w:val="35"/>
        </w:numPr>
        <w:autoSpaceDE w:val="0"/>
        <w:autoSpaceDN w:val="0"/>
        <w:adjustRightInd w:val="0"/>
        <w:rPr>
          <w:rFonts w:ascii="Calibri" w:eastAsia="Calibri" w:hAnsi="Calibri"/>
        </w:rPr>
      </w:pPr>
      <w:r w:rsidRPr="008343E1">
        <w:rPr>
          <w:rFonts w:ascii="Calibri" w:eastAsia="Calibri" w:hAnsi="Calibri"/>
        </w:rPr>
        <w:t>AWH, E., JONIDES, J., SMITH, E. E., BUXTON, R. B., FRANK,</w:t>
      </w:r>
      <w:r w:rsidR="00CD5000" w:rsidRPr="008343E1">
        <w:rPr>
          <w:rFonts w:ascii="Calibri" w:eastAsia="Calibri" w:hAnsi="Calibri"/>
        </w:rPr>
        <w:t xml:space="preserve"> L. R., LOVE, T., et al. (1999),</w:t>
      </w:r>
      <w:r w:rsidRPr="008343E1">
        <w:rPr>
          <w:rFonts w:ascii="Calibri" w:eastAsia="Calibri" w:hAnsi="Calibri"/>
        </w:rPr>
        <w:t xml:space="preserve"> </w:t>
      </w:r>
      <w:r w:rsidR="00CD5000" w:rsidRPr="008343E1">
        <w:rPr>
          <w:rFonts w:ascii="Calibri" w:eastAsia="Calibri" w:hAnsi="Calibri"/>
        </w:rPr>
        <w:t>‘</w:t>
      </w:r>
      <w:r w:rsidR="006821D8" w:rsidRPr="008343E1">
        <w:rPr>
          <w:rFonts w:ascii="Calibri" w:eastAsia="Calibri" w:hAnsi="Calibri"/>
        </w:rPr>
        <w:t>Rehearsal in S</w:t>
      </w:r>
      <w:r w:rsidRPr="008343E1">
        <w:rPr>
          <w:rFonts w:ascii="Calibri" w:eastAsia="Calibri" w:hAnsi="Calibri"/>
        </w:rPr>
        <w:t xml:space="preserve">patial </w:t>
      </w:r>
      <w:r w:rsidR="006821D8" w:rsidRPr="008343E1">
        <w:rPr>
          <w:rFonts w:ascii="Calibri" w:eastAsia="Calibri" w:hAnsi="Calibri"/>
        </w:rPr>
        <w:t>W</w:t>
      </w:r>
      <w:r w:rsidRPr="008343E1">
        <w:rPr>
          <w:rFonts w:ascii="Calibri" w:eastAsia="Calibri" w:hAnsi="Calibri"/>
        </w:rPr>
        <w:t xml:space="preserve">orking </w:t>
      </w:r>
      <w:r w:rsidR="006821D8" w:rsidRPr="008343E1">
        <w:rPr>
          <w:rFonts w:ascii="Calibri" w:eastAsia="Calibri" w:hAnsi="Calibri"/>
        </w:rPr>
        <w:t>Memory: Evidence from N</w:t>
      </w:r>
      <w:r w:rsidRPr="008343E1">
        <w:rPr>
          <w:rFonts w:ascii="Calibri" w:eastAsia="Calibri" w:hAnsi="Calibri"/>
        </w:rPr>
        <w:t>euroimaging</w:t>
      </w:r>
      <w:r w:rsidR="00CD5000" w:rsidRPr="008343E1">
        <w:rPr>
          <w:rFonts w:ascii="Calibri" w:eastAsia="Calibri" w:hAnsi="Calibri"/>
        </w:rPr>
        <w:t>’,</w:t>
      </w:r>
      <w:r w:rsidRPr="008343E1">
        <w:rPr>
          <w:rFonts w:ascii="Calibri" w:eastAsia="Calibri" w:hAnsi="Calibri"/>
        </w:rPr>
        <w:t xml:space="preserve"> </w:t>
      </w:r>
      <w:r w:rsidRPr="008343E1">
        <w:rPr>
          <w:rFonts w:ascii="Calibri" w:eastAsia="Calibri" w:hAnsi="Calibri"/>
          <w:i/>
        </w:rPr>
        <w:t>Psychological Science</w:t>
      </w:r>
      <w:r w:rsidRPr="008343E1">
        <w:rPr>
          <w:rFonts w:ascii="Calibri" w:eastAsia="Calibri" w:hAnsi="Calibri"/>
        </w:rPr>
        <w:t>, 10</w:t>
      </w:r>
      <w:r w:rsidR="00725D59">
        <w:rPr>
          <w:rFonts w:ascii="Calibri" w:eastAsia="Calibri" w:hAnsi="Calibri"/>
        </w:rPr>
        <w:t>, 5</w:t>
      </w:r>
      <w:r w:rsidRPr="008343E1">
        <w:rPr>
          <w:rFonts w:ascii="Calibri" w:eastAsia="Calibri" w:hAnsi="Calibri"/>
        </w:rPr>
        <w:t xml:space="preserve">, </w:t>
      </w:r>
      <w:r w:rsidR="00574EA3" w:rsidRPr="008343E1">
        <w:rPr>
          <w:rFonts w:ascii="Calibri" w:eastAsia="Calibri" w:hAnsi="Calibri"/>
        </w:rPr>
        <w:t>pp. 433-</w:t>
      </w:r>
      <w:r w:rsidRPr="008343E1">
        <w:rPr>
          <w:rFonts w:ascii="Calibri" w:eastAsia="Calibri" w:hAnsi="Calibri"/>
        </w:rPr>
        <w:t>7.</w:t>
      </w:r>
    </w:p>
    <w:p w:rsidR="000708F8" w:rsidRPr="008343E1" w:rsidRDefault="00574EA3"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sz w:val="24"/>
          <w:szCs w:val="24"/>
        </w:rPr>
        <w:t>BARSALOU, L. W. (1999), ‘Perceptual Symbol Systems’,</w:t>
      </w:r>
      <w:r w:rsidR="000708F8" w:rsidRPr="008343E1">
        <w:rPr>
          <w:sz w:val="24"/>
          <w:szCs w:val="24"/>
        </w:rPr>
        <w:t xml:space="preserve"> </w:t>
      </w:r>
      <w:r w:rsidR="000708F8" w:rsidRPr="008343E1">
        <w:rPr>
          <w:rStyle w:val="Emphasis"/>
          <w:rFonts w:eastAsia="Cambria"/>
          <w:sz w:val="24"/>
          <w:szCs w:val="24"/>
        </w:rPr>
        <w:t>Behavioral and Brain Sciences</w:t>
      </w:r>
      <w:r w:rsidR="000708F8" w:rsidRPr="008343E1">
        <w:rPr>
          <w:sz w:val="24"/>
          <w:szCs w:val="24"/>
        </w:rPr>
        <w:t>, 22, pp. 577-609.</w:t>
      </w:r>
    </w:p>
    <w:p w:rsidR="000708F8" w:rsidRPr="008343E1" w:rsidRDefault="000708F8" w:rsidP="000708F8">
      <w:pPr>
        <w:pStyle w:val="ListParagraph"/>
        <w:numPr>
          <w:ilvl w:val="0"/>
          <w:numId w:val="35"/>
        </w:numPr>
        <w:spacing w:before="140" w:after="140" w:line="360" w:lineRule="auto"/>
        <w:rPr>
          <w:rFonts w:ascii="Calibri" w:hAnsi="Calibri" w:cs="Times-Italic"/>
        </w:rPr>
      </w:pPr>
      <w:r w:rsidRPr="008343E1">
        <w:rPr>
          <w:rFonts w:ascii="Calibri" w:hAnsi="Calibri"/>
        </w:rPr>
        <w:t>BLISS, T. V. P., &amp;</w:t>
      </w:r>
      <w:r w:rsidR="00574EA3" w:rsidRPr="008343E1">
        <w:rPr>
          <w:rFonts w:ascii="Calibri" w:hAnsi="Calibri"/>
        </w:rPr>
        <w:t xml:space="preserve"> GARDNER-MEDWIN, A. R. (1973),</w:t>
      </w:r>
      <w:r w:rsidRPr="008343E1">
        <w:rPr>
          <w:rFonts w:ascii="Calibri" w:hAnsi="Calibri"/>
        </w:rPr>
        <w:t xml:space="preserve"> </w:t>
      </w:r>
      <w:r w:rsidR="00574EA3" w:rsidRPr="008343E1">
        <w:rPr>
          <w:rFonts w:ascii="Calibri" w:hAnsi="Calibri"/>
        </w:rPr>
        <w:t>‘</w:t>
      </w:r>
      <w:r w:rsidRPr="008343E1">
        <w:rPr>
          <w:rFonts w:ascii="Calibri" w:hAnsi="Calibri"/>
        </w:rPr>
        <w:t>Long-Lasting Potentiation of Synaptic Transmission in the Dentate Area of the Anesthetized Rabbit Following St</w:t>
      </w:r>
      <w:r w:rsidR="00574EA3" w:rsidRPr="008343E1">
        <w:rPr>
          <w:rFonts w:ascii="Calibri" w:hAnsi="Calibri"/>
        </w:rPr>
        <w:t>imulation of the Perforant Path’,</w:t>
      </w:r>
      <w:r w:rsidRPr="008343E1">
        <w:rPr>
          <w:rFonts w:ascii="Calibri" w:hAnsi="Calibri"/>
        </w:rPr>
        <w:t xml:space="preserve"> </w:t>
      </w:r>
      <w:r w:rsidRPr="008343E1">
        <w:rPr>
          <w:rFonts w:ascii="Calibri" w:hAnsi="Calibri"/>
          <w:i/>
        </w:rPr>
        <w:t>Journal of Physiology (London)</w:t>
      </w:r>
      <w:r w:rsidR="00574EA3" w:rsidRPr="008343E1">
        <w:rPr>
          <w:rFonts w:ascii="Calibri" w:hAnsi="Calibri"/>
        </w:rPr>
        <w:t xml:space="preserve">, 232, pp. </w:t>
      </w:r>
      <w:r w:rsidR="00844486" w:rsidRPr="008343E1">
        <w:rPr>
          <w:rFonts w:ascii="Calibri" w:hAnsi="Calibri"/>
        </w:rPr>
        <w:t>357-</w:t>
      </w:r>
      <w:r w:rsidRPr="008343E1">
        <w:rPr>
          <w:rFonts w:ascii="Calibri" w:hAnsi="Calibri"/>
        </w:rPr>
        <w:t>74.</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BLISS, T. V. P., &amp;</w:t>
      </w:r>
      <w:r w:rsidR="00574EA3" w:rsidRPr="008343E1">
        <w:rPr>
          <w:rFonts w:ascii="Calibri" w:hAnsi="Calibri"/>
        </w:rPr>
        <w:t xml:space="preserve"> LOMO, T. (1973),</w:t>
      </w:r>
      <w:r w:rsidRPr="008343E1">
        <w:rPr>
          <w:rFonts w:ascii="Calibri" w:hAnsi="Calibri"/>
        </w:rPr>
        <w:t xml:space="preserve"> </w:t>
      </w:r>
      <w:r w:rsidR="00574EA3" w:rsidRPr="008343E1">
        <w:rPr>
          <w:rFonts w:ascii="Calibri" w:hAnsi="Calibri"/>
        </w:rPr>
        <w:t>‘</w:t>
      </w:r>
      <w:r w:rsidRPr="008343E1">
        <w:rPr>
          <w:rFonts w:ascii="Calibri" w:hAnsi="Calibri"/>
        </w:rPr>
        <w:t>Long-Lasting Potentiation of Synaptic Transmission in the Dentate Area of the Anesthetized Rabbit Following St</w:t>
      </w:r>
      <w:r w:rsidR="00574EA3" w:rsidRPr="008343E1">
        <w:rPr>
          <w:rFonts w:ascii="Calibri" w:hAnsi="Calibri"/>
        </w:rPr>
        <w:t>imulation of the Perforant Path’,</w:t>
      </w:r>
      <w:r w:rsidRPr="008343E1">
        <w:rPr>
          <w:rFonts w:ascii="Calibri" w:hAnsi="Calibri"/>
        </w:rPr>
        <w:t xml:space="preserve"> </w:t>
      </w:r>
      <w:r w:rsidRPr="008343E1">
        <w:rPr>
          <w:rFonts w:ascii="Calibri" w:hAnsi="Calibri"/>
          <w:i/>
        </w:rPr>
        <w:t>Journal of Physiology (London)</w:t>
      </w:r>
      <w:r w:rsidR="00574EA3" w:rsidRPr="008343E1">
        <w:rPr>
          <w:rFonts w:ascii="Calibri" w:hAnsi="Calibri"/>
        </w:rPr>
        <w:t xml:space="preserve">, 232, pp. </w:t>
      </w:r>
      <w:r w:rsidRPr="008343E1">
        <w:rPr>
          <w:rFonts w:ascii="Calibri" w:hAnsi="Calibri"/>
        </w:rPr>
        <w:t>331-56.</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BROWN</w:t>
      </w:r>
      <w:r w:rsidR="00574EA3" w:rsidRPr="008343E1">
        <w:rPr>
          <w:rFonts w:ascii="Calibri" w:hAnsi="Calibri"/>
        </w:rPr>
        <w:t>, T. H., &amp; MCAFEE, D. A. (1982),</w:t>
      </w:r>
      <w:r w:rsidR="006439FF" w:rsidRPr="008343E1">
        <w:rPr>
          <w:rFonts w:ascii="Calibri" w:hAnsi="Calibri"/>
        </w:rPr>
        <w:t xml:space="preserve"> ‘Long-T</w:t>
      </w:r>
      <w:r w:rsidRPr="008343E1">
        <w:rPr>
          <w:rFonts w:ascii="Calibri" w:hAnsi="Calibri"/>
        </w:rPr>
        <w:t xml:space="preserve">erm </w:t>
      </w:r>
      <w:r w:rsidR="006439FF" w:rsidRPr="008343E1">
        <w:rPr>
          <w:rFonts w:ascii="Calibri" w:hAnsi="Calibri"/>
        </w:rPr>
        <w:t>S</w:t>
      </w:r>
      <w:r w:rsidRPr="008343E1">
        <w:rPr>
          <w:rFonts w:ascii="Calibri" w:hAnsi="Calibri"/>
        </w:rPr>
        <w:t xml:space="preserve">ynaptic </w:t>
      </w:r>
      <w:r w:rsidR="006439FF" w:rsidRPr="008343E1">
        <w:rPr>
          <w:rFonts w:ascii="Calibri" w:hAnsi="Calibri"/>
        </w:rPr>
        <w:t>P</w:t>
      </w:r>
      <w:r w:rsidRPr="008343E1">
        <w:rPr>
          <w:rFonts w:ascii="Calibri" w:hAnsi="Calibri"/>
        </w:rPr>
        <w:t>otenti</w:t>
      </w:r>
      <w:r w:rsidR="00574EA3" w:rsidRPr="008343E1">
        <w:rPr>
          <w:rFonts w:ascii="Calibri" w:hAnsi="Calibri"/>
        </w:rPr>
        <w:t xml:space="preserve">ation in the </w:t>
      </w:r>
      <w:r w:rsidR="006439FF" w:rsidRPr="008343E1">
        <w:rPr>
          <w:rFonts w:ascii="Calibri" w:hAnsi="Calibri"/>
        </w:rPr>
        <w:t>S</w:t>
      </w:r>
      <w:r w:rsidR="00574EA3" w:rsidRPr="008343E1">
        <w:rPr>
          <w:rFonts w:ascii="Calibri" w:hAnsi="Calibri"/>
        </w:rPr>
        <w:t xml:space="preserve">uperior </w:t>
      </w:r>
      <w:r w:rsidR="006439FF" w:rsidRPr="008343E1">
        <w:rPr>
          <w:rFonts w:ascii="Calibri" w:hAnsi="Calibri"/>
        </w:rPr>
        <w:t>G</w:t>
      </w:r>
      <w:r w:rsidR="00574EA3" w:rsidRPr="008343E1">
        <w:rPr>
          <w:rFonts w:ascii="Calibri" w:hAnsi="Calibri"/>
        </w:rPr>
        <w:t>anglion’,</w:t>
      </w:r>
      <w:r w:rsidRPr="008343E1">
        <w:rPr>
          <w:rFonts w:ascii="Calibri" w:hAnsi="Calibri"/>
        </w:rPr>
        <w:t xml:space="preserve"> </w:t>
      </w:r>
      <w:r w:rsidRPr="008343E1">
        <w:rPr>
          <w:rFonts w:ascii="Calibri" w:hAnsi="Calibri"/>
          <w:i/>
        </w:rPr>
        <w:t>Science</w:t>
      </w:r>
      <w:r w:rsidRPr="008343E1">
        <w:rPr>
          <w:rFonts w:ascii="Calibri" w:hAnsi="Calibri"/>
        </w:rPr>
        <w:t>, 215, pp. 1411-3.</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CHAO, L. L., HA</w:t>
      </w:r>
      <w:r w:rsidR="00574EA3" w:rsidRPr="008343E1">
        <w:rPr>
          <w:sz w:val="24"/>
          <w:szCs w:val="24"/>
        </w:rPr>
        <w:t>XBY, J. V., &amp; MARTIN, A. (1999),</w:t>
      </w:r>
      <w:r w:rsidRPr="008343E1">
        <w:rPr>
          <w:sz w:val="24"/>
          <w:szCs w:val="24"/>
        </w:rPr>
        <w:t xml:space="preserve"> </w:t>
      </w:r>
      <w:r w:rsidR="00574EA3" w:rsidRPr="008343E1">
        <w:rPr>
          <w:sz w:val="24"/>
          <w:szCs w:val="24"/>
        </w:rPr>
        <w:t>‘</w:t>
      </w:r>
      <w:r w:rsidRPr="008343E1">
        <w:rPr>
          <w:sz w:val="24"/>
          <w:szCs w:val="24"/>
        </w:rPr>
        <w:t>Attribute-Based Neural Substrates in Temporal Cortex for Perceiving and Knowing About Objects</w:t>
      </w:r>
      <w:r w:rsidR="00574EA3" w:rsidRPr="008343E1">
        <w:rPr>
          <w:sz w:val="24"/>
          <w:szCs w:val="24"/>
        </w:rPr>
        <w:t>’,</w:t>
      </w:r>
      <w:r w:rsidRPr="008343E1">
        <w:rPr>
          <w:sz w:val="24"/>
          <w:szCs w:val="24"/>
        </w:rPr>
        <w:t xml:space="preserve"> </w:t>
      </w:r>
      <w:r w:rsidRPr="008343E1">
        <w:rPr>
          <w:i/>
          <w:sz w:val="24"/>
          <w:szCs w:val="24"/>
        </w:rPr>
        <w:t>Nature Neuroscience</w:t>
      </w:r>
      <w:r w:rsidR="00844486" w:rsidRPr="008343E1">
        <w:rPr>
          <w:sz w:val="24"/>
          <w:szCs w:val="24"/>
        </w:rPr>
        <w:t>, 2, pp. 913-</w:t>
      </w:r>
      <w:r w:rsidRPr="008343E1">
        <w:rPr>
          <w:sz w:val="24"/>
          <w:szCs w:val="24"/>
        </w:rPr>
        <w:t>9.</w:t>
      </w:r>
    </w:p>
    <w:p w:rsidR="000708F8" w:rsidRPr="008343E1" w:rsidRDefault="00574EA3" w:rsidP="000708F8">
      <w:pPr>
        <w:pStyle w:val="Kleurrijkelijst-accent11"/>
        <w:numPr>
          <w:ilvl w:val="0"/>
          <w:numId w:val="35"/>
        </w:numPr>
        <w:spacing w:after="0" w:line="240" w:lineRule="auto"/>
        <w:rPr>
          <w:sz w:val="24"/>
          <w:szCs w:val="24"/>
        </w:rPr>
      </w:pPr>
      <w:r w:rsidRPr="008343E1">
        <w:rPr>
          <w:sz w:val="24"/>
          <w:szCs w:val="24"/>
        </w:rPr>
        <w:t>CHEN, S. &amp; CHAIKEN, S. (1999),</w:t>
      </w:r>
      <w:r w:rsidR="000708F8" w:rsidRPr="008343E1">
        <w:rPr>
          <w:sz w:val="24"/>
          <w:szCs w:val="24"/>
        </w:rPr>
        <w:t xml:space="preserve"> </w:t>
      </w:r>
      <w:r w:rsidRPr="008343E1">
        <w:rPr>
          <w:sz w:val="24"/>
          <w:szCs w:val="24"/>
        </w:rPr>
        <w:t>‘</w:t>
      </w:r>
      <w:r w:rsidR="003A7EA6" w:rsidRPr="008343E1">
        <w:rPr>
          <w:sz w:val="24"/>
          <w:szCs w:val="24"/>
        </w:rPr>
        <w:t>The H</w:t>
      </w:r>
      <w:r w:rsidR="000708F8" w:rsidRPr="008343E1">
        <w:rPr>
          <w:sz w:val="24"/>
          <w:szCs w:val="24"/>
        </w:rPr>
        <w:t>euristic-</w:t>
      </w:r>
      <w:r w:rsidR="003A7EA6" w:rsidRPr="008343E1">
        <w:rPr>
          <w:sz w:val="24"/>
          <w:szCs w:val="24"/>
        </w:rPr>
        <w:t>S</w:t>
      </w:r>
      <w:r w:rsidR="000708F8" w:rsidRPr="008343E1">
        <w:rPr>
          <w:sz w:val="24"/>
          <w:szCs w:val="24"/>
        </w:rPr>
        <w:t xml:space="preserve">ystematic </w:t>
      </w:r>
      <w:r w:rsidR="003A7EA6" w:rsidRPr="008343E1">
        <w:rPr>
          <w:sz w:val="24"/>
          <w:szCs w:val="24"/>
        </w:rPr>
        <w:t>Model in its B</w:t>
      </w:r>
      <w:r w:rsidR="000708F8" w:rsidRPr="008343E1">
        <w:rPr>
          <w:sz w:val="24"/>
          <w:szCs w:val="24"/>
        </w:rPr>
        <w:t xml:space="preserve">roader </w:t>
      </w:r>
      <w:r w:rsidR="003A7EA6" w:rsidRPr="008343E1">
        <w:rPr>
          <w:sz w:val="24"/>
          <w:szCs w:val="24"/>
        </w:rPr>
        <w:t>C</w:t>
      </w:r>
      <w:r w:rsidR="000708F8" w:rsidRPr="008343E1">
        <w:rPr>
          <w:sz w:val="24"/>
          <w:szCs w:val="24"/>
        </w:rPr>
        <w:t>ontext</w:t>
      </w:r>
      <w:r w:rsidR="00844486" w:rsidRPr="008343E1">
        <w:rPr>
          <w:sz w:val="24"/>
          <w:szCs w:val="24"/>
        </w:rPr>
        <w:t>’, i</w:t>
      </w:r>
      <w:r w:rsidR="000708F8" w:rsidRPr="008343E1">
        <w:rPr>
          <w:sz w:val="24"/>
          <w:szCs w:val="24"/>
        </w:rPr>
        <w:t xml:space="preserve">n Chaiken, </w:t>
      </w:r>
      <w:r w:rsidR="00844486" w:rsidRPr="008343E1">
        <w:rPr>
          <w:sz w:val="24"/>
          <w:szCs w:val="24"/>
        </w:rPr>
        <w:t>S. and</w:t>
      </w:r>
      <w:r w:rsidR="000708F8" w:rsidRPr="008343E1">
        <w:rPr>
          <w:sz w:val="24"/>
          <w:szCs w:val="24"/>
        </w:rPr>
        <w:t xml:space="preserve"> Trope </w:t>
      </w:r>
      <w:r w:rsidR="00844486" w:rsidRPr="008343E1">
        <w:rPr>
          <w:sz w:val="24"/>
          <w:szCs w:val="24"/>
        </w:rPr>
        <w:t>Y. (e</w:t>
      </w:r>
      <w:r w:rsidR="000708F8" w:rsidRPr="008343E1">
        <w:rPr>
          <w:sz w:val="24"/>
          <w:szCs w:val="24"/>
        </w:rPr>
        <w:t>ds.)</w:t>
      </w:r>
      <w:r w:rsidR="00844486" w:rsidRPr="008343E1">
        <w:rPr>
          <w:sz w:val="24"/>
          <w:szCs w:val="24"/>
        </w:rPr>
        <w:t>,</w:t>
      </w:r>
      <w:r w:rsidR="000708F8" w:rsidRPr="008343E1">
        <w:rPr>
          <w:i/>
          <w:sz w:val="24"/>
          <w:szCs w:val="24"/>
        </w:rPr>
        <w:t xml:space="preserve"> Dual-Process Theories in Social Psychology</w:t>
      </w:r>
      <w:r w:rsidR="00844486" w:rsidRPr="008343E1">
        <w:rPr>
          <w:sz w:val="24"/>
          <w:szCs w:val="24"/>
        </w:rPr>
        <w:t>,</w:t>
      </w:r>
      <w:r w:rsidR="00EA2878" w:rsidRPr="008343E1">
        <w:rPr>
          <w:sz w:val="24"/>
          <w:szCs w:val="24"/>
        </w:rPr>
        <w:t xml:space="preserve"> New York,</w:t>
      </w:r>
      <w:r w:rsidR="000708F8" w:rsidRPr="008343E1">
        <w:rPr>
          <w:sz w:val="24"/>
          <w:szCs w:val="24"/>
        </w:rPr>
        <w:t xml:space="preserve"> Guilford Press, pp. 73-96.</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sz w:val="24"/>
          <w:szCs w:val="24"/>
        </w:rPr>
      </w:pPr>
      <w:r w:rsidRPr="008343E1">
        <w:rPr>
          <w:sz w:val="24"/>
          <w:szCs w:val="24"/>
        </w:rPr>
        <w:t>CORBETTA M, MIEZIN FM, DOBMEYER S, SHU</w:t>
      </w:r>
      <w:r w:rsidR="00844486" w:rsidRPr="008343E1">
        <w:rPr>
          <w:sz w:val="24"/>
          <w:szCs w:val="24"/>
        </w:rPr>
        <w:t>LMAN GL, &amp; PETERSEN S.E. (1990),</w:t>
      </w:r>
      <w:r w:rsidRPr="008343E1">
        <w:rPr>
          <w:sz w:val="24"/>
          <w:szCs w:val="24"/>
        </w:rPr>
        <w:t xml:space="preserve"> </w:t>
      </w:r>
      <w:r w:rsidR="00844486" w:rsidRPr="008343E1">
        <w:rPr>
          <w:sz w:val="24"/>
          <w:szCs w:val="24"/>
        </w:rPr>
        <w:t>‘</w:t>
      </w:r>
      <w:r w:rsidR="003A7EA6" w:rsidRPr="008343E1">
        <w:rPr>
          <w:sz w:val="24"/>
          <w:szCs w:val="24"/>
        </w:rPr>
        <w:t>Attentional Modulation of Neural P</w:t>
      </w:r>
      <w:r w:rsidRPr="008343E1">
        <w:rPr>
          <w:sz w:val="24"/>
          <w:szCs w:val="24"/>
        </w:rPr>
        <w:t xml:space="preserve">rocessing of </w:t>
      </w:r>
      <w:r w:rsidR="003A7EA6" w:rsidRPr="008343E1">
        <w:rPr>
          <w:sz w:val="24"/>
          <w:szCs w:val="24"/>
        </w:rPr>
        <w:t>Shape, C</w:t>
      </w:r>
      <w:r w:rsidRPr="008343E1">
        <w:rPr>
          <w:sz w:val="24"/>
          <w:szCs w:val="24"/>
        </w:rPr>
        <w:t xml:space="preserve">olor, and </w:t>
      </w:r>
      <w:r w:rsidR="003A7EA6" w:rsidRPr="008343E1">
        <w:rPr>
          <w:sz w:val="24"/>
          <w:szCs w:val="24"/>
        </w:rPr>
        <w:t>V</w:t>
      </w:r>
      <w:r w:rsidRPr="008343E1">
        <w:rPr>
          <w:sz w:val="24"/>
          <w:szCs w:val="24"/>
        </w:rPr>
        <w:t xml:space="preserve">elocity in </w:t>
      </w:r>
      <w:r w:rsidR="003A7EA6" w:rsidRPr="008343E1">
        <w:rPr>
          <w:sz w:val="24"/>
          <w:szCs w:val="24"/>
        </w:rPr>
        <w:t>H</w:t>
      </w:r>
      <w:r w:rsidRPr="008343E1">
        <w:rPr>
          <w:sz w:val="24"/>
          <w:szCs w:val="24"/>
        </w:rPr>
        <w:t>umans</w:t>
      </w:r>
      <w:r w:rsidR="00844486" w:rsidRPr="008343E1">
        <w:rPr>
          <w:sz w:val="24"/>
          <w:szCs w:val="24"/>
        </w:rPr>
        <w:t>’,</w:t>
      </w:r>
      <w:r w:rsidRPr="008343E1">
        <w:rPr>
          <w:sz w:val="24"/>
          <w:szCs w:val="24"/>
        </w:rPr>
        <w:t xml:space="preserve"> </w:t>
      </w:r>
      <w:r w:rsidRPr="008343E1">
        <w:rPr>
          <w:i/>
          <w:sz w:val="24"/>
          <w:szCs w:val="24"/>
        </w:rPr>
        <w:t>Science</w:t>
      </w:r>
      <w:r w:rsidR="00844486" w:rsidRPr="008343E1">
        <w:rPr>
          <w:i/>
          <w:sz w:val="24"/>
          <w:szCs w:val="24"/>
        </w:rPr>
        <w:t>,</w:t>
      </w:r>
      <w:r w:rsidRPr="008343E1">
        <w:rPr>
          <w:i/>
          <w:sz w:val="24"/>
          <w:szCs w:val="24"/>
        </w:rPr>
        <w:t xml:space="preserve"> </w:t>
      </w:r>
      <w:r w:rsidR="00844486" w:rsidRPr="008343E1">
        <w:rPr>
          <w:sz w:val="24"/>
          <w:szCs w:val="24"/>
        </w:rPr>
        <w:t>248, pp. 1556-</w:t>
      </w:r>
      <w:r w:rsidRPr="008343E1">
        <w:rPr>
          <w:sz w:val="24"/>
          <w:szCs w:val="24"/>
        </w:rPr>
        <w:t>9.</w:t>
      </w:r>
    </w:p>
    <w:p w:rsidR="000708F8" w:rsidRPr="008343E1" w:rsidRDefault="00844486" w:rsidP="000708F8">
      <w:pPr>
        <w:pStyle w:val="Kleurrijkelijst-accent11"/>
        <w:widowControl w:val="0"/>
        <w:numPr>
          <w:ilvl w:val="0"/>
          <w:numId w:val="35"/>
        </w:numPr>
        <w:autoSpaceDE w:val="0"/>
        <w:autoSpaceDN w:val="0"/>
        <w:adjustRightInd w:val="0"/>
        <w:spacing w:after="0" w:line="240" w:lineRule="auto"/>
        <w:rPr>
          <w:sz w:val="24"/>
          <w:szCs w:val="24"/>
        </w:rPr>
      </w:pPr>
      <w:r w:rsidRPr="008343E1">
        <w:rPr>
          <w:sz w:val="24"/>
          <w:szCs w:val="24"/>
        </w:rPr>
        <w:t>COWAN, N. (2006),</w:t>
      </w:r>
      <w:r w:rsidR="000708F8" w:rsidRPr="008343E1">
        <w:rPr>
          <w:sz w:val="24"/>
          <w:szCs w:val="24"/>
        </w:rPr>
        <w:t xml:space="preserve"> </w:t>
      </w:r>
      <w:r w:rsidR="00F632B2" w:rsidRPr="008343E1">
        <w:rPr>
          <w:i/>
          <w:sz w:val="24"/>
          <w:szCs w:val="24"/>
        </w:rPr>
        <w:t>Working M</w:t>
      </w:r>
      <w:r w:rsidR="000708F8" w:rsidRPr="008343E1">
        <w:rPr>
          <w:i/>
          <w:sz w:val="24"/>
          <w:szCs w:val="24"/>
        </w:rPr>
        <w:t xml:space="preserve">emory </w:t>
      </w:r>
      <w:r w:rsidR="00F632B2" w:rsidRPr="008343E1">
        <w:rPr>
          <w:i/>
          <w:sz w:val="24"/>
          <w:szCs w:val="24"/>
        </w:rPr>
        <w:t>C</w:t>
      </w:r>
      <w:r w:rsidR="000708F8" w:rsidRPr="008343E1">
        <w:rPr>
          <w:i/>
          <w:sz w:val="24"/>
          <w:szCs w:val="24"/>
        </w:rPr>
        <w:t>apacity</w:t>
      </w:r>
      <w:r w:rsidRPr="008343E1">
        <w:rPr>
          <w:sz w:val="24"/>
          <w:szCs w:val="24"/>
        </w:rPr>
        <w:t>,</w:t>
      </w:r>
      <w:r w:rsidR="00EA2878" w:rsidRPr="008343E1">
        <w:rPr>
          <w:sz w:val="24"/>
          <w:szCs w:val="24"/>
        </w:rPr>
        <w:t xml:space="preserve"> New York,</w:t>
      </w:r>
      <w:r w:rsidR="000708F8" w:rsidRPr="008343E1">
        <w:rPr>
          <w:sz w:val="24"/>
          <w:szCs w:val="24"/>
        </w:rPr>
        <w:t xml:space="preserve"> </w:t>
      </w:r>
      <w:proofErr w:type="gramStart"/>
      <w:r w:rsidR="000708F8" w:rsidRPr="008343E1">
        <w:rPr>
          <w:sz w:val="24"/>
          <w:szCs w:val="24"/>
        </w:rPr>
        <w:t>Psychology</w:t>
      </w:r>
      <w:proofErr w:type="gramEnd"/>
      <w:r w:rsidR="000708F8" w:rsidRPr="008343E1">
        <w:rPr>
          <w:sz w:val="24"/>
          <w:szCs w:val="24"/>
        </w:rPr>
        <w:t xml:space="preserve"> Press. </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sz w:val="24"/>
          <w:szCs w:val="24"/>
        </w:rPr>
      </w:pPr>
      <w:r w:rsidRPr="008343E1">
        <w:rPr>
          <w:sz w:val="24"/>
          <w:szCs w:val="24"/>
        </w:rPr>
        <w:t>CRAIK, F. I. M., GOVONI R., NAVEH-BEN</w:t>
      </w:r>
      <w:r w:rsidR="00844486" w:rsidRPr="008343E1">
        <w:rPr>
          <w:sz w:val="24"/>
          <w:szCs w:val="24"/>
        </w:rPr>
        <w:t>JAMIN M. &amp; ANDERSON N.D. (1996),</w:t>
      </w:r>
      <w:r w:rsidRPr="008343E1">
        <w:rPr>
          <w:sz w:val="24"/>
          <w:szCs w:val="24"/>
        </w:rPr>
        <w:t xml:space="preserve"> </w:t>
      </w:r>
      <w:r w:rsidR="00844486" w:rsidRPr="008343E1">
        <w:rPr>
          <w:sz w:val="24"/>
          <w:szCs w:val="24"/>
        </w:rPr>
        <w:t>‘</w:t>
      </w:r>
      <w:r w:rsidRPr="008343E1">
        <w:rPr>
          <w:sz w:val="24"/>
          <w:szCs w:val="24"/>
        </w:rPr>
        <w:t xml:space="preserve">The </w:t>
      </w:r>
      <w:r w:rsidR="00F632B2" w:rsidRPr="008343E1">
        <w:rPr>
          <w:sz w:val="24"/>
          <w:szCs w:val="24"/>
        </w:rPr>
        <w:t>Effects of Divided Attention on Encoding and Retrieval Processes in Human Memory’</w:t>
      </w:r>
      <w:r w:rsidR="00844486" w:rsidRPr="008343E1">
        <w:rPr>
          <w:sz w:val="24"/>
          <w:szCs w:val="24"/>
        </w:rPr>
        <w:t>,</w:t>
      </w:r>
      <w:r w:rsidRPr="008343E1">
        <w:rPr>
          <w:sz w:val="24"/>
          <w:szCs w:val="24"/>
        </w:rPr>
        <w:t xml:space="preserve"> </w:t>
      </w:r>
      <w:r w:rsidRPr="008343E1">
        <w:rPr>
          <w:i/>
          <w:sz w:val="24"/>
          <w:szCs w:val="24"/>
        </w:rPr>
        <w:t>Journal of Experimental Psychology General</w:t>
      </w:r>
      <w:r w:rsidR="00844486" w:rsidRPr="008343E1">
        <w:rPr>
          <w:sz w:val="24"/>
          <w:szCs w:val="24"/>
        </w:rPr>
        <w:t>. 125, pp. 159-</w:t>
      </w:r>
      <w:r w:rsidRPr="008343E1">
        <w:rPr>
          <w:sz w:val="24"/>
          <w:szCs w:val="24"/>
        </w:rPr>
        <w:t>80.</w:t>
      </w:r>
    </w:p>
    <w:p w:rsidR="000708F8" w:rsidRPr="008343E1" w:rsidRDefault="000708F8" w:rsidP="000708F8">
      <w:pPr>
        <w:pStyle w:val="ListParagraph"/>
        <w:widowControl w:val="0"/>
        <w:numPr>
          <w:ilvl w:val="0"/>
          <w:numId w:val="35"/>
        </w:numPr>
        <w:autoSpaceDE w:val="0"/>
        <w:autoSpaceDN w:val="0"/>
        <w:adjustRightInd w:val="0"/>
        <w:rPr>
          <w:rFonts w:ascii="Calibri" w:hAnsi="Calibri" w:cs="Helvetica Neue"/>
          <w:color w:val="262626"/>
        </w:rPr>
      </w:pPr>
      <w:r w:rsidRPr="008343E1">
        <w:rPr>
          <w:rFonts w:ascii="Calibri" w:hAnsi="Calibri" w:cs="Helvetica Neue"/>
          <w:color w:val="262626"/>
        </w:rPr>
        <w:t xml:space="preserve">D'ARCAIS, </w:t>
      </w:r>
      <w:r w:rsidR="00844486" w:rsidRPr="008343E1">
        <w:rPr>
          <w:rFonts w:ascii="Calibri" w:hAnsi="Calibri" w:cs="Helvetica Neue"/>
          <w:color w:val="262626"/>
        </w:rPr>
        <w:t>G.B.F. AND SCHREUDER, R. (1987),</w:t>
      </w:r>
      <w:r w:rsidRPr="008343E1">
        <w:rPr>
          <w:rFonts w:ascii="Calibri" w:hAnsi="Calibri" w:cs="Helvetica Neue"/>
          <w:color w:val="262626"/>
        </w:rPr>
        <w:t xml:space="preserve"> </w:t>
      </w:r>
      <w:r w:rsidR="00844486" w:rsidRPr="008343E1">
        <w:rPr>
          <w:rFonts w:ascii="Calibri" w:hAnsi="Calibri" w:cs="Helvetica Neue"/>
          <w:color w:val="262626"/>
        </w:rPr>
        <w:t>‘</w:t>
      </w:r>
      <w:r w:rsidRPr="008343E1">
        <w:rPr>
          <w:rFonts w:ascii="Calibri" w:hAnsi="Calibri" w:cs="Georgia"/>
          <w:color w:val="262626"/>
        </w:rPr>
        <w:t xml:space="preserve">Semantic </w:t>
      </w:r>
      <w:r w:rsidR="00F632B2" w:rsidRPr="008343E1">
        <w:rPr>
          <w:rFonts w:ascii="Calibri" w:hAnsi="Calibri" w:cs="Georgia"/>
          <w:color w:val="262626"/>
        </w:rPr>
        <w:t>Activation During Object Naming</w:t>
      </w:r>
      <w:r w:rsidR="00844486" w:rsidRPr="008343E1">
        <w:rPr>
          <w:rFonts w:ascii="Calibri" w:hAnsi="Calibri" w:cs="Georgia"/>
          <w:color w:val="262626"/>
        </w:rPr>
        <w:t>’,</w:t>
      </w:r>
      <w:r w:rsidRPr="008343E1">
        <w:rPr>
          <w:rFonts w:ascii="Calibri" w:hAnsi="Calibri" w:cs="Helvetica Neue"/>
          <w:color w:val="262626"/>
        </w:rPr>
        <w:t xml:space="preserve"> </w:t>
      </w:r>
      <w:r w:rsidRPr="008343E1">
        <w:rPr>
          <w:rFonts w:ascii="Calibri" w:hAnsi="Calibri" w:cs="Helvetica Neue"/>
          <w:i/>
          <w:color w:val="262626"/>
        </w:rPr>
        <w:t>Psychological Research</w:t>
      </w:r>
      <w:r w:rsidR="00844486" w:rsidRPr="008343E1">
        <w:rPr>
          <w:rFonts w:ascii="Calibri" w:hAnsi="Calibri" w:cs="Helvetica Neue"/>
          <w:color w:val="262626"/>
        </w:rPr>
        <w:t>, Vol. 49, Issue 2-3, pp. 153-</w:t>
      </w:r>
      <w:r w:rsidRPr="008343E1">
        <w:rPr>
          <w:rFonts w:ascii="Calibri" w:hAnsi="Calibri" w:cs="Helvetica Neue"/>
          <w:color w:val="262626"/>
        </w:rPr>
        <w:t>9.</w:t>
      </w:r>
    </w:p>
    <w:p w:rsidR="000708F8" w:rsidRPr="008343E1" w:rsidRDefault="00EA287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DE NEYS, W. (2006a), ‘</w:t>
      </w:r>
      <w:r w:rsidR="000708F8" w:rsidRPr="008343E1">
        <w:rPr>
          <w:rFonts w:eastAsia="MS Mincho"/>
          <w:sz w:val="24"/>
          <w:szCs w:val="24"/>
          <w:lang w:val="en-US" w:eastAsia="ja-JP"/>
        </w:rPr>
        <w:t>Automatic</w:t>
      </w:r>
      <w:r w:rsidR="00F632B2" w:rsidRPr="008343E1">
        <w:rPr>
          <w:rFonts w:eastAsia="MS Mincho"/>
          <w:sz w:val="24"/>
          <w:szCs w:val="24"/>
          <w:lang w:val="en-US" w:eastAsia="ja-JP"/>
        </w:rPr>
        <w:t xml:space="preserve">-Heuristic and Executive-Analytic Processing in Reasoning: </w:t>
      </w:r>
      <w:r w:rsidR="000708F8" w:rsidRPr="008343E1">
        <w:rPr>
          <w:rFonts w:eastAsia="MS Mincho"/>
          <w:sz w:val="24"/>
          <w:szCs w:val="24"/>
          <w:lang w:val="en-US" w:eastAsia="ja-JP"/>
        </w:rPr>
        <w:t>Chronometr</w:t>
      </w:r>
      <w:r w:rsidRPr="008343E1">
        <w:rPr>
          <w:rFonts w:eastAsia="MS Mincho"/>
          <w:sz w:val="24"/>
          <w:szCs w:val="24"/>
          <w:lang w:val="en-US" w:eastAsia="ja-JP"/>
        </w:rPr>
        <w:t xml:space="preserve">ic </w:t>
      </w:r>
      <w:r w:rsidR="00F632B2" w:rsidRPr="008343E1">
        <w:rPr>
          <w:rFonts w:eastAsia="MS Mincho"/>
          <w:sz w:val="24"/>
          <w:szCs w:val="24"/>
          <w:lang w:val="en-US" w:eastAsia="ja-JP"/>
        </w:rPr>
        <w:t>and Dual Task Considerations</w:t>
      </w:r>
      <w:r w:rsidRPr="008343E1">
        <w:rPr>
          <w:rFonts w:eastAsia="MS Mincho"/>
          <w:sz w:val="24"/>
          <w:szCs w:val="24"/>
          <w:lang w:val="en-US" w:eastAsia="ja-JP"/>
        </w:rPr>
        <w:t>’,</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Quarterly Journal of Experimental Psychology</w:t>
      </w:r>
      <w:r w:rsidRPr="008343E1">
        <w:rPr>
          <w:rFonts w:eastAsia="MS Mincho"/>
          <w:sz w:val="24"/>
          <w:szCs w:val="24"/>
          <w:lang w:val="en-US" w:eastAsia="ja-JP"/>
        </w:rPr>
        <w:t>, 59, pp. 1070-</w:t>
      </w:r>
      <w:r w:rsidR="000708F8" w:rsidRPr="008343E1">
        <w:rPr>
          <w:rFonts w:eastAsia="MS Mincho"/>
          <w:sz w:val="24"/>
          <w:szCs w:val="24"/>
          <w:lang w:val="en-US" w:eastAsia="ja-JP"/>
        </w:rPr>
        <w:t>100.</w:t>
      </w:r>
    </w:p>
    <w:p w:rsidR="000708F8" w:rsidRPr="008343E1" w:rsidRDefault="00EA287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DE NEYS, W. (2006b),</w:t>
      </w:r>
      <w:r w:rsidR="000708F8" w:rsidRPr="008343E1">
        <w:rPr>
          <w:rFonts w:eastAsia="MS Mincho"/>
          <w:sz w:val="24"/>
          <w:szCs w:val="24"/>
          <w:lang w:val="en-US" w:eastAsia="ja-JP"/>
        </w:rPr>
        <w:t xml:space="preserve"> </w:t>
      </w:r>
      <w:r w:rsidRPr="008343E1">
        <w:rPr>
          <w:rFonts w:eastAsia="MS Mincho"/>
          <w:sz w:val="24"/>
          <w:szCs w:val="24"/>
          <w:lang w:val="en-US" w:eastAsia="ja-JP"/>
        </w:rPr>
        <w:t>‘</w:t>
      </w:r>
      <w:r w:rsidR="000708F8" w:rsidRPr="008343E1">
        <w:rPr>
          <w:rFonts w:eastAsia="MS Mincho"/>
          <w:sz w:val="24"/>
          <w:szCs w:val="24"/>
          <w:lang w:val="en-US" w:eastAsia="ja-JP"/>
        </w:rPr>
        <w:t xml:space="preserve">Dual </w:t>
      </w:r>
      <w:r w:rsidR="00F632B2" w:rsidRPr="008343E1">
        <w:rPr>
          <w:rFonts w:eastAsia="MS Mincho"/>
          <w:sz w:val="24"/>
          <w:szCs w:val="24"/>
          <w:lang w:val="en-US" w:eastAsia="ja-JP"/>
        </w:rPr>
        <w:t xml:space="preserve">Processing </w:t>
      </w:r>
      <w:r w:rsidR="000708F8" w:rsidRPr="008343E1">
        <w:rPr>
          <w:rFonts w:eastAsia="MS Mincho"/>
          <w:sz w:val="24"/>
          <w:szCs w:val="24"/>
          <w:lang w:val="en-US" w:eastAsia="ja-JP"/>
        </w:rPr>
        <w:t xml:space="preserve">in </w:t>
      </w:r>
      <w:r w:rsidR="00F632B2" w:rsidRPr="008343E1">
        <w:rPr>
          <w:rFonts w:eastAsia="MS Mincho"/>
          <w:sz w:val="24"/>
          <w:szCs w:val="24"/>
          <w:lang w:val="en-US" w:eastAsia="ja-JP"/>
        </w:rPr>
        <w:t>Reasoning</w:t>
      </w:r>
      <w:r w:rsidRPr="008343E1">
        <w:rPr>
          <w:rFonts w:eastAsia="MS Mincho"/>
          <w:sz w:val="24"/>
          <w:szCs w:val="24"/>
          <w:lang w:val="en-US" w:eastAsia="ja-JP"/>
        </w:rPr>
        <w:t xml:space="preserve">: Two </w:t>
      </w:r>
      <w:r w:rsidR="00C756EE" w:rsidRPr="008343E1">
        <w:rPr>
          <w:rFonts w:eastAsia="MS Mincho"/>
          <w:sz w:val="24"/>
          <w:szCs w:val="24"/>
          <w:lang w:val="en-US" w:eastAsia="ja-JP"/>
        </w:rPr>
        <w:t xml:space="preserve">Systems </w:t>
      </w:r>
      <w:r w:rsidR="0070356B" w:rsidRPr="008343E1">
        <w:rPr>
          <w:rFonts w:eastAsia="MS Mincho"/>
          <w:sz w:val="24"/>
          <w:szCs w:val="24"/>
          <w:lang w:val="en-US" w:eastAsia="ja-JP"/>
        </w:rPr>
        <w:t>but O</w:t>
      </w:r>
      <w:r w:rsidRPr="008343E1">
        <w:rPr>
          <w:rFonts w:eastAsia="MS Mincho"/>
          <w:sz w:val="24"/>
          <w:szCs w:val="24"/>
          <w:lang w:val="en-US" w:eastAsia="ja-JP"/>
        </w:rPr>
        <w:t xml:space="preserve">ne </w:t>
      </w:r>
      <w:r w:rsidR="00C756EE" w:rsidRPr="008343E1">
        <w:rPr>
          <w:rFonts w:eastAsia="MS Mincho"/>
          <w:sz w:val="24"/>
          <w:szCs w:val="24"/>
          <w:lang w:val="en-US" w:eastAsia="ja-JP"/>
        </w:rPr>
        <w:t>Reasoner’</w:t>
      </w:r>
      <w:r w:rsidRPr="008343E1">
        <w:rPr>
          <w:rFonts w:eastAsia="MS Mincho"/>
          <w:sz w:val="24"/>
          <w:szCs w:val="24"/>
          <w:lang w:val="en-US" w:eastAsia="ja-JP"/>
        </w:rPr>
        <w:t>,</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Psychological Science</w:t>
      </w:r>
      <w:r w:rsidRPr="008343E1">
        <w:rPr>
          <w:rFonts w:eastAsia="MS Mincho"/>
          <w:sz w:val="24"/>
          <w:szCs w:val="24"/>
          <w:lang w:val="en-US" w:eastAsia="ja-JP"/>
        </w:rPr>
        <w:t>, 17, pp. 428-</w:t>
      </w:r>
      <w:r w:rsidR="000708F8" w:rsidRPr="008343E1">
        <w:rPr>
          <w:rFonts w:eastAsia="MS Mincho"/>
          <w:sz w:val="24"/>
          <w:szCs w:val="24"/>
          <w:lang w:val="en-US" w:eastAsia="ja-JP"/>
        </w:rPr>
        <w:t>33.</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DEMARAI</w:t>
      </w:r>
      <w:r w:rsidR="00EA2878" w:rsidRPr="008343E1">
        <w:rPr>
          <w:sz w:val="24"/>
          <w:szCs w:val="24"/>
        </w:rPr>
        <w:t>S, A. M., &amp; COHEN, B. H. (1998),</w:t>
      </w:r>
      <w:r w:rsidRPr="008343E1">
        <w:rPr>
          <w:sz w:val="24"/>
          <w:szCs w:val="24"/>
        </w:rPr>
        <w:t xml:space="preserve"> </w:t>
      </w:r>
      <w:r w:rsidR="00EA2878" w:rsidRPr="008343E1">
        <w:rPr>
          <w:sz w:val="24"/>
          <w:szCs w:val="24"/>
        </w:rPr>
        <w:t>‘</w:t>
      </w:r>
      <w:r w:rsidRPr="008343E1">
        <w:rPr>
          <w:sz w:val="24"/>
          <w:szCs w:val="24"/>
        </w:rPr>
        <w:t xml:space="preserve">Evidence for </w:t>
      </w:r>
      <w:r w:rsidR="00C756EE" w:rsidRPr="008343E1">
        <w:rPr>
          <w:sz w:val="24"/>
          <w:szCs w:val="24"/>
        </w:rPr>
        <w:t>Image</w:t>
      </w:r>
      <w:r w:rsidRPr="008343E1">
        <w:rPr>
          <w:sz w:val="24"/>
          <w:szCs w:val="24"/>
        </w:rPr>
        <w:t>-</w:t>
      </w:r>
      <w:r w:rsidR="00C756EE" w:rsidRPr="008343E1">
        <w:rPr>
          <w:sz w:val="24"/>
          <w:szCs w:val="24"/>
        </w:rPr>
        <w:t>Scanning Eye Movements During Transitive Inference’</w:t>
      </w:r>
      <w:r w:rsidR="00EA2878" w:rsidRPr="008343E1">
        <w:rPr>
          <w:sz w:val="24"/>
          <w:szCs w:val="24"/>
        </w:rPr>
        <w:t xml:space="preserve">, </w:t>
      </w:r>
      <w:r w:rsidR="00EA2878" w:rsidRPr="008343E1">
        <w:rPr>
          <w:i/>
          <w:sz w:val="24"/>
          <w:szCs w:val="24"/>
        </w:rPr>
        <w:t>Biological Psychology,</w:t>
      </w:r>
      <w:r w:rsidRPr="008343E1">
        <w:rPr>
          <w:i/>
          <w:sz w:val="24"/>
          <w:szCs w:val="24"/>
        </w:rPr>
        <w:t xml:space="preserve"> 49, </w:t>
      </w:r>
      <w:r w:rsidR="00EA2878" w:rsidRPr="008343E1">
        <w:rPr>
          <w:sz w:val="24"/>
          <w:szCs w:val="24"/>
        </w:rPr>
        <w:t>3, pp. 229-</w:t>
      </w:r>
      <w:r w:rsidRPr="008343E1">
        <w:rPr>
          <w:sz w:val="24"/>
          <w:szCs w:val="24"/>
        </w:rPr>
        <w:t>47.</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 xml:space="preserve">DUTILH </w:t>
      </w:r>
      <w:r w:rsidR="00EA2878" w:rsidRPr="008343E1">
        <w:rPr>
          <w:sz w:val="24"/>
          <w:szCs w:val="24"/>
        </w:rPr>
        <w:t>NOVAES, C. (2012),</w:t>
      </w:r>
      <w:r w:rsidRPr="008343E1">
        <w:rPr>
          <w:sz w:val="24"/>
          <w:szCs w:val="24"/>
        </w:rPr>
        <w:t xml:space="preserve"> </w:t>
      </w:r>
      <w:r w:rsidR="00EA2878" w:rsidRPr="008343E1">
        <w:rPr>
          <w:sz w:val="24"/>
          <w:szCs w:val="24"/>
        </w:rPr>
        <w:t>‘</w:t>
      </w:r>
      <w:r w:rsidRPr="008343E1">
        <w:rPr>
          <w:i/>
          <w:sz w:val="24"/>
          <w:szCs w:val="24"/>
        </w:rPr>
        <w:t>Formal Languages in Logic: A Philosophical and Cognitive Analysis</w:t>
      </w:r>
      <w:r w:rsidR="00EA2878" w:rsidRPr="008343E1">
        <w:rPr>
          <w:i/>
          <w:sz w:val="24"/>
          <w:szCs w:val="24"/>
        </w:rPr>
        <w:t>’,</w:t>
      </w:r>
      <w:r w:rsidR="00EA2878" w:rsidRPr="008343E1">
        <w:rPr>
          <w:sz w:val="24"/>
          <w:szCs w:val="24"/>
        </w:rPr>
        <w:t xml:space="preserve"> Cambridge,</w:t>
      </w:r>
      <w:r w:rsidRPr="008343E1">
        <w:rPr>
          <w:sz w:val="24"/>
          <w:szCs w:val="24"/>
        </w:rPr>
        <w:t xml:space="preserve"> Cambridge University Press. </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ind w:right="-20"/>
        <w:rPr>
          <w:sz w:val="24"/>
          <w:szCs w:val="24"/>
        </w:rPr>
      </w:pPr>
      <w:r w:rsidRPr="008343E1">
        <w:rPr>
          <w:sz w:val="24"/>
          <w:szCs w:val="24"/>
          <w:lang w:val="de-AT"/>
        </w:rPr>
        <w:t xml:space="preserve">ELMAN, </w:t>
      </w:r>
      <w:r w:rsidRPr="008343E1">
        <w:rPr>
          <w:spacing w:val="-36"/>
          <w:sz w:val="24"/>
          <w:szCs w:val="24"/>
          <w:lang w:val="de-AT"/>
        </w:rPr>
        <w:t xml:space="preserve"> </w:t>
      </w:r>
      <w:r w:rsidRPr="008343E1">
        <w:rPr>
          <w:sz w:val="24"/>
          <w:szCs w:val="24"/>
          <w:lang w:val="de-AT"/>
        </w:rPr>
        <w:t xml:space="preserve">J. </w:t>
      </w:r>
      <w:r w:rsidRPr="008343E1">
        <w:rPr>
          <w:spacing w:val="-36"/>
          <w:sz w:val="24"/>
          <w:szCs w:val="24"/>
          <w:lang w:val="de-AT"/>
        </w:rPr>
        <w:t xml:space="preserve"> </w:t>
      </w:r>
      <w:r w:rsidRPr="008343E1">
        <w:rPr>
          <w:sz w:val="24"/>
          <w:szCs w:val="24"/>
          <w:lang w:val="de-AT"/>
        </w:rPr>
        <w:t xml:space="preserve">L., &amp; MCCLELLAND, </w:t>
      </w:r>
      <w:r w:rsidRPr="008343E1">
        <w:rPr>
          <w:spacing w:val="-36"/>
          <w:sz w:val="24"/>
          <w:szCs w:val="24"/>
          <w:lang w:val="de-AT"/>
        </w:rPr>
        <w:t xml:space="preserve"> </w:t>
      </w:r>
      <w:r w:rsidRPr="008343E1">
        <w:rPr>
          <w:sz w:val="24"/>
          <w:szCs w:val="24"/>
          <w:lang w:val="de-AT"/>
        </w:rPr>
        <w:t xml:space="preserve">J. </w:t>
      </w:r>
      <w:r w:rsidRPr="008343E1">
        <w:rPr>
          <w:spacing w:val="-36"/>
          <w:sz w:val="24"/>
          <w:szCs w:val="24"/>
          <w:lang w:val="de-AT"/>
        </w:rPr>
        <w:t xml:space="preserve"> </w:t>
      </w:r>
      <w:r w:rsidRPr="008343E1">
        <w:rPr>
          <w:sz w:val="24"/>
          <w:szCs w:val="24"/>
        </w:rPr>
        <w:t xml:space="preserve">L. </w:t>
      </w:r>
      <w:r w:rsidRPr="008343E1">
        <w:rPr>
          <w:spacing w:val="-36"/>
          <w:sz w:val="24"/>
          <w:szCs w:val="24"/>
        </w:rPr>
        <w:t xml:space="preserve"> (</w:t>
      </w:r>
      <w:r w:rsidR="002C6E69">
        <w:rPr>
          <w:sz w:val="24"/>
          <w:szCs w:val="24"/>
        </w:rPr>
        <w:t>1986),</w:t>
      </w:r>
      <w:r w:rsidRPr="008343E1">
        <w:rPr>
          <w:sz w:val="24"/>
          <w:szCs w:val="24"/>
        </w:rPr>
        <w:t xml:space="preserve"> </w:t>
      </w:r>
      <w:proofErr w:type="gramStart"/>
      <w:r w:rsidRPr="008343E1">
        <w:rPr>
          <w:sz w:val="24"/>
          <w:szCs w:val="24"/>
        </w:rPr>
        <w:t xml:space="preserve">‘An </w:t>
      </w:r>
      <w:r w:rsidRPr="008343E1">
        <w:rPr>
          <w:spacing w:val="-36"/>
          <w:sz w:val="24"/>
          <w:szCs w:val="24"/>
        </w:rPr>
        <w:t xml:space="preserve"> </w:t>
      </w:r>
      <w:r w:rsidR="00C756EE" w:rsidRPr="008343E1">
        <w:rPr>
          <w:sz w:val="24"/>
          <w:szCs w:val="24"/>
        </w:rPr>
        <w:t>Architecture</w:t>
      </w:r>
      <w:proofErr w:type="gramEnd"/>
      <w:r w:rsidR="00C756EE" w:rsidRPr="008343E1">
        <w:rPr>
          <w:sz w:val="24"/>
          <w:szCs w:val="24"/>
        </w:rPr>
        <w:t xml:space="preserve"> </w:t>
      </w:r>
      <w:r w:rsidR="00C756EE" w:rsidRPr="008343E1">
        <w:rPr>
          <w:spacing w:val="-36"/>
          <w:sz w:val="24"/>
          <w:szCs w:val="24"/>
        </w:rPr>
        <w:t xml:space="preserve"> </w:t>
      </w:r>
      <w:r w:rsidRPr="008343E1">
        <w:rPr>
          <w:sz w:val="24"/>
          <w:szCs w:val="24"/>
        </w:rPr>
        <w:t xml:space="preserve">for </w:t>
      </w:r>
      <w:r w:rsidRPr="008343E1">
        <w:rPr>
          <w:spacing w:val="-36"/>
          <w:sz w:val="24"/>
          <w:szCs w:val="24"/>
        </w:rPr>
        <w:t xml:space="preserve"> </w:t>
      </w:r>
      <w:r w:rsidR="00C756EE" w:rsidRPr="008343E1">
        <w:rPr>
          <w:sz w:val="24"/>
          <w:szCs w:val="24"/>
        </w:rPr>
        <w:t xml:space="preserve">Parallel </w:t>
      </w:r>
      <w:r w:rsidR="00C756EE" w:rsidRPr="008343E1">
        <w:rPr>
          <w:spacing w:val="-36"/>
          <w:sz w:val="24"/>
          <w:szCs w:val="24"/>
        </w:rPr>
        <w:t xml:space="preserve"> </w:t>
      </w:r>
      <w:r w:rsidR="00C756EE" w:rsidRPr="008343E1">
        <w:rPr>
          <w:sz w:val="24"/>
          <w:szCs w:val="24"/>
        </w:rPr>
        <w:t xml:space="preserve">Processing </w:t>
      </w:r>
      <w:r w:rsidR="00C756EE" w:rsidRPr="008343E1">
        <w:rPr>
          <w:spacing w:val="-36"/>
          <w:sz w:val="24"/>
          <w:szCs w:val="24"/>
        </w:rPr>
        <w:t xml:space="preserve"> </w:t>
      </w:r>
      <w:r w:rsidRPr="008343E1">
        <w:rPr>
          <w:sz w:val="24"/>
          <w:szCs w:val="24"/>
        </w:rPr>
        <w:t xml:space="preserve">in </w:t>
      </w:r>
      <w:r w:rsidR="00C756EE" w:rsidRPr="008343E1">
        <w:rPr>
          <w:sz w:val="24"/>
          <w:szCs w:val="24"/>
        </w:rPr>
        <w:t xml:space="preserve">Speech  </w:t>
      </w:r>
      <w:r w:rsidR="00C756EE" w:rsidRPr="008343E1">
        <w:rPr>
          <w:spacing w:val="1"/>
          <w:sz w:val="24"/>
          <w:szCs w:val="24"/>
        </w:rPr>
        <w:t xml:space="preserve"> </w:t>
      </w:r>
      <w:r w:rsidR="00C756EE" w:rsidRPr="008343E1">
        <w:rPr>
          <w:sz w:val="24"/>
          <w:szCs w:val="24"/>
        </w:rPr>
        <w:t>Recognition</w:t>
      </w:r>
      <w:r w:rsidRPr="008343E1">
        <w:rPr>
          <w:sz w:val="24"/>
          <w:szCs w:val="24"/>
        </w:rPr>
        <w:t xml:space="preserve">:  </w:t>
      </w:r>
      <w:r w:rsidRPr="008343E1">
        <w:rPr>
          <w:spacing w:val="1"/>
          <w:sz w:val="24"/>
          <w:szCs w:val="24"/>
        </w:rPr>
        <w:t xml:space="preserve"> </w:t>
      </w:r>
      <w:r w:rsidRPr="008343E1">
        <w:rPr>
          <w:sz w:val="24"/>
          <w:szCs w:val="24"/>
        </w:rPr>
        <w:t xml:space="preserve">The  </w:t>
      </w:r>
      <w:r w:rsidRPr="008343E1">
        <w:rPr>
          <w:spacing w:val="1"/>
          <w:sz w:val="24"/>
          <w:szCs w:val="24"/>
        </w:rPr>
        <w:t xml:space="preserve"> </w:t>
      </w:r>
      <w:r w:rsidRPr="008343E1">
        <w:rPr>
          <w:sz w:val="24"/>
          <w:szCs w:val="24"/>
        </w:rPr>
        <w:t xml:space="preserve">TRACE  </w:t>
      </w:r>
      <w:r w:rsidRPr="008343E1">
        <w:rPr>
          <w:spacing w:val="1"/>
          <w:sz w:val="24"/>
          <w:szCs w:val="24"/>
        </w:rPr>
        <w:t xml:space="preserve"> </w:t>
      </w:r>
      <w:r w:rsidRPr="008343E1">
        <w:rPr>
          <w:sz w:val="24"/>
          <w:szCs w:val="24"/>
        </w:rPr>
        <w:t xml:space="preserve">model’.  </w:t>
      </w:r>
      <w:r w:rsidRPr="008343E1">
        <w:rPr>
          <w:spacing w:val="1"/>
          <w:sz w:val="24"/>
          <w:szCs w:val="24"/>
        </w:rPr>
        <w:t xml:space="preserve"> </w:t>
      </w:r>
      <w:r w:rsidRPr="008343E1">
        <w:rPr>
          <w:sz w:val="24"/>
          <w:szCs w:val="24"/>
        </w:rPr>
        <w:t xml:space="preserve">In Schroeder </w:t>
      </w:r>
      <w:r w:rsidR="00EA2878" w:rsidRPr="008343E1">
        <w:rPr>
          <w:sz w:val="24"/>
          <w:szCs w:val="24"/>
        </w:rPr>
        <w:t xml:space="preserve">M. R.  </w:t>
      </w:r>
      <w:r w:rsidR="00EA2878" w:rsidRPr="008343E1">
        <w:rPr>
          <w:spacing w:val="1"/>
          <w:sz w:val="24"/>
          <w:szCs w:val="24"/>
        </w:rPr>
        <w:t xml:space="preserve"> </w:t>
      </w:r>
      <w:r w:rsidR="00EA2878" w:rsidRPr="008343E1">
        <w:rPr>
          <w:sz w:val="24"/>
          <w:szCs w:val="24"/>
        </w:rPr>
        <w:t>(</w:t>
      </w:r>
      <w:proofErr w:type="gramStart"/>
      <w:r w:rsidR="00EA2878" w:rsidRPr="008343E1">
        <w:rPr>
          <w:sz w:val="24"/>
          <w:szCs w:val="24"/>
        </w:rPr>
        <w:t>e</w:t>
      </w:r>
      <w:r w:rsidRPr="008343E1">
        <w:rPr>
          <w:sz w:val="24"/>
          <w:szCs w:val="24"/>
        </w:rPr>
        <w:t>d</w:t>
      </w:r>
      <w:proofErr w:type="gramEnd"/>
      <w:r w:rsidRPr="008343E1">
        <w:rPr>
          <w:sz w:val="24"/>
          <w:szCs w:val="24"/>
        </w:rPr>
        <w:t xml:space="preserve">.), </w:t>
      </w:r>
      <w:r w:rsidRPr="008343E1">
        <w:rPr>
          <w:i/>
          <w:sz w:val="24"/>
          <w:szCs w:val="24"/>
        </w:rPr>
        <w:t>Speech Recognition</w:t>
      </w:r>
      <w:r w:rsidR="00EA2878" w:rsidRPr="008343E1">
        <w:rPr>
          <w:sz w:val="24"/>
          <w:szCs w:val="24"/>
        </w:rPr>
        <w:t>. Basel,</w:t>
      </w:r>
      <w:r w:rsidRPr="008343E1">
        <w:rPr>
          <w:sz w:val="24"/>
          <w:szCs w:val="24"/>
        </w:rPr>
        <w:t xml:space="preserve"> S. Krager AG. </w:t>
      </w:r>
    </w:p>
    <w:p w:rsidR="000708F8" w:rsidRPr="008343E1" w:rsidRDefault="00EA2878" w:rsidP="000708F8">
      <w:pPr>
        <w:pStyle w:val="Kleurrijkelijst-accent11"/>
        <w:numPr>
          <w:ilvl w:val="0"/>
          <w:numId w:val="35"/>
        </w:numPr>
        <w:spacing w:after="0" w:line="240" w:lineRule="auto"/>
        <w:rPr>
          <w:sz w:val="24"/>
          <w:szCs w:val="24"/>
        </w:rPr>
      </w:pPr>
      <w:r w:rsidRPr="008343E1">
        <w:rPr>
          <w:sz w:val="24"/>
          <w:szCs w:val="24"/>
        </w:rPr>
        <w:t>EPSTEIN, S. (1994),</w:t>
      </w:r>
      <w:r w:rsidR="000708F8" w:rsidRPr="008343E1">
        <w:rPr>
          <w:sz w:val="24"/>
          <w:szCs w:val="24"/>
        </w:rPr>
        <w:t xml:space="preserve"> ‘Integration of the </w:t>
      </w:r>
      <w:r w:rsidR="00C756EE" w:rsidRPr="008343E1">
        <w:rPr>
          <w:sz w:val="24"/>
          <w:szCs w:val="24"/>
        </w:rPr>
        <w:t xml:space="preserve">Cognitive </w:t>
      </w:r>
      <w:r w:rsidR="000708F8" w:rsidRPr="008343E1">
        <w:rPr>
          <w:sz w:val="24"/>
          <w:szCs w:val="24"/>
        </w:rPr>
        <w:t xml:space="preserve">and </w:t>
      </w:r>
      <w:r w:rsidR="00C756EE" w:rsidRPr="008343E1">
        <w:rPr>
          <w:sz w:val="24"/>
          <w:szCs w:val="24"/>
        </w:rPr>
        <w:t>Psychodynamic Unconscious’</w:t>
      </w:r>
      <w:r w:rsidRPr="008343E1">
        <w:rPr>
          <w:sz w:val="24"/>
          <w:szCs w:val="24"/>
        </w:rPr>
        <w:t xml:space="preserve">, </w:t>
      </w:r>
      <w:r w:rsidR="000708F8" w:rsidRPr="008343E1">
        <w:rPr>
          <w:i/>
          <w:sz w:val="24"/>
          <w:szCs w:val="24"/>
        </w:rPr>
        <w:t>American Psychologist</w:t>
      </w:r>
      <w:r w:rsidR="000708F8" w:rsidRPr="008343E1">
        <w:rPr>
          <w:sz w:val="24"/>
          <w:szCs w:val="24"/>
        </w:rPr>
        <w:t>, 49, pp.</w:t>
      </w:r>
      <w:r w:rsidRPr="008343E1">
        <w:rPr>
          <w:sz w:val="24"/>
          <w:szCs w:val="24"/>
        </w:rPr>
        <w:t xml:space="preserve"> </w:t>
      </w:r>
      <w:r w:rsidR="000708F8" w:rsidRPr="008343E1">
        <w:rPr>
          <w:sz w:val="24"/>
          <w:szCs w:val="24"/>
        </w:rPr>
        <w:t>709-24.</w:t>
      </w:r>
    </w:p>
    <w:p w:rsidR="000708F8" w:rsidRPr="008343E1" w:rsidRDefault="00EA287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EVANS J. (2008),</w:t>
      </w:r>
      <w:r w:rsidR="000708F8" w:rsidRPr="008343E1">
        <w:rPr>
          <w:rFonts w:eastAsia="MS Mincho"/>
          <w:sz w:val="24"/>
          <w:szCs w:val="24"/>
          <w:lang w:val="en-US" w:eastAsia="ja-JP"/>
        </w:rPr>
        <w:t xml:space="preserve"> </w:t>
      </w:r>
      <w:r w:rsidRPr="008343E1">
        <w:rPr>
          <w:rFonts w:eastAsia="MS Mincho"/>
          <w:sz w:val="24"/>
          <w:szCs w:val="24"/>
          <w:lang w:val="en-US" w:eastAsia="ja-JP"/>
        </w:rPr>
        <w:t>‘</w:t>
      </w:r>
      <w:r w:rsidR="000708F8" w:rsidRPr="008343E1">
        <w:rPr>
          <w:rFonts w:eastAsia="MS Mincho"/>
          <w:sz w:val="24"/>
          <w:szCs w:val="24"/>
          <w:lang w:val="en-US" w:eastAsia="ja-JP"/>
        </w:rPr>
        <w:t>Dual-</w:t>
      </w:r>
      <w:r w:rsidR="00C756EE" w:rsidRPr="008343E1">
        <w:rPr>
          <w:rFonts w:eastAsia="MS Mincho"/>
          <w:sz w:val="24"/>
          <w:szCs w:val="24"/>
          <w:lang w:val="en-US" w:eastAsia="ja-JP"/>
        </w:rPr>
        <w:t xml:space="preserve">Processing Accounts </w:t>
      </w:r>
      <w:r w:rsidR="000708F8" w:rsidRPr="008343E1">
        <w:rPr>
          <w:rFonts w:eastAsia="MS Mincho"/>
          <w:sz w:val="24"/>
          <w:szCs w:val="24"/>
          <w:lang w:val="en-US" w:eastAsia="ja-JP"/>
        </w:rPr>
        <w:t xml:space="preserve">of </w:t>
      </w:r>
      <w:r w:rsidR="00C756EE" w:rsidRPr="008343E1">
        <w:rPr>
          <w:rFonts w:eastAsia="MS Mincho"/>
          <w:sz w:val="24"/>
          <w:szCs w:val="24"/>
          <w:lang w:val="en-US" w:eastAsia="ja-JP"/>
        </w:rPr>
        <w:t>Reasoning</w:t>
      </w:r>
      <w:r w:rsidR="000708F8" w:rsidRPr="008343E1">
        <w:rPr>
          <w:rFonts w:eastAsia="MS Mincho"/>
          <w:sz w:val="24"/>
          <w:szCs w:val="24"/>
          <w:lang w:val="en-US" w:eastAsia="ja-JP"/>
        </w:rPr>
        <w:t>,</w:t>
      </w:r>
      <w:r w:rsidRPr="008343E1">
        <w:rPr>
          <w:rFonts w:eastAsia="MS Mincho"/>
          <w:sz w:val="24"/>
          <w:szCs w:val="24"/>
          <w:lang w:val="en-US" w:eastAsia="ja-JP"/>
        </w:rPr>
        <w:t xml:space="preserve"> </w:t>
      </w:r>
      <w:r w:rsidR="00C756EE" w:rsidRPr="008343E1">
        <w:rPr>
          <w:rFonts w:eastAsia="MS Mincho"/>
          <w:sz w:val="24"/>
          <w:szCs w:val="24"/>
          <w:lang w:val="en-US" w:eastAsia="ja-JP"/>
        </w:rPr>
        <w:t>Judgment</w:t>
      </w:r>
      <w:r w:rsidRPr="008343E1">
        <w:rPr>
          <w:rFonts w:eastAsia="MS Mincho"/>
          <w:sz w:val="24"/>
          <w:szCs w:val="24"/>
          <w:lang w:val="en-US" w:eastAsia="ja-JP"/>
        </w:rPr>
        <w:t xml:space="preserve">, and </w:t>
      </w:r>
      <w:r w:rsidR="00C756EE" w:rsidRPr="008343E1">
        <w:rPr>
          <w:rFonts w:eastAsia="MS Mincho"/>
          <w:sz w:val="24"/>
          <w:szCs w:val="24"/>
          <w:lang w:val="en-US" w:eastAsia="ja-JP"/>
        </w:rPr>
        <w:t>Social Cognition’</w:t>
      </w:r>
      <w:r w:rsidRPr="008343E1">
        <w:rPr>
          <w:rFonts w:eastAsia="MS Mincho"/>
          <w:sz w:val="24"/>
          <w:szCs w:val="24"/>
          <w:lang w:val="en-US" w:eastAsia="ja-JP"/>
        </w:rPr>
        <w:t>,</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Annual Review of Psychology</w:t>
      </w:r>
      <w:r w:rsidR="000708F8" w:rsidRPr="008343E1">
        <w:rPr>
          <w:rFonts w:eastAsia="MS Mincho"/>
          <w:sz w:val="24"/>
          <w:szCs w:val="24"/>
          <w:lang w:val="en-US" w:eastAsia="ja-JP"/>
        </w:rPr>
        <w:t>,</w:t>
      </w:r>
      <w:r w:rsidR="000708F8" w:rsidRPr="008343E1">
        <w:rPr>
          <w:rFonts w:eastAsia="MS Mincho"/>
          <w:i/>
          <w:sz w:val="24"/>
          <w:szCs w:val="24"/>
          <w:lang w:val="en-US" w:eastAsia="ja-JP"/>
        </w:rPr>
        <w:t xml:space="preserve"> </w:t>
      </w:r>
      <w:r w:rsidRPr="008343E1">
        <w:rPr>
          <w:rFonts w:eastAsia="MS Mincho"/>
          <w:sz w:val="24"/>
          <w:szCs w:val="24"/>
          <w:lang w:val="en-US" w:eastAsia="ja-JP"/>
        </w:rPr>
        <w:t>59, pp. 255-</w:t>
      </w:r>
      <w:r w:rsidR="000708F8" w:rsidRPr="008343E1">
        <w:rPr>
          <w:rFonts w:eastAsia="MS Mincho"/>
          <w:sz w:val="24"/>
          <w:szCs w:val="24"/>
          <w:lang w:val="en-US" w:eastAsia="ja-JP"/>
        </w:rPr>
        <w:t>78.</w:t>
      </w:r>
    </w:p>
    <w:p w:rsidR="000708F8" w:rsidRPr="008343E1" w:rsidRDefault="0023456E" w:rsidP="000708F8">
      <w:pPr>
        <w:pStyle w:val="Kleurrijkelijst-accent11"/>
        <w:numPr>
          <w:ilvl w:val="0"/>
          <w:numId w:val="35"/>
        </w:numPr>
        <w:spacing w:after="0" w:line="240" w:lineRule="auto"/>
        <w:rPr>
          <w:sz w:val="24"/>
          <w:szCs w:val="24"/>
        </w:rPr>
      </w:pPr>
      <w:r w:rsidRPr="008343E1">
        <w:rPr>
          <w:sz w:val="24"/>
          <w:szCs w:val="24"/>
        </w:rPr>
        <w:t>EVANS, J. B. (1989),</w:t>
      </w:r>
      <w:r w:rsidR="000708F8" w:rsidRPr="008343E1">
        <w:rPr>
          <w:sz w:val="24"/>
          <w:szCs w:val="24"/>
        </w:rPr>
        <w:t xml:space="preserve"> </w:t>
      </w:r>
      <w:r w:rsidRPr="008343E1">
        <w:rPr>
          <w:sz w:val="24"/>
          <w:szCs w:val="24"/>
        </w:rPr>
        <w:t>‘</w:t>
      </w:r>
      <w:r w:rsidR="000708F8" w:rsidRPr="008343E1">
        <w:rPr>
          <w:i/>
          <w:sz w:val="24"/>
          <w:szCs w:val="24"/>
        </w:rPr>
        <w:t>Bias in Human Reasoning: Causes and Consequences</w:t>
      </w:r>
      <w:r w:rsidRPr="008343E1">
        <w:rPr>
          <w:sz w:val="24"/>
          <w:szCs w:val="24"/>
        </w:rPr>
        <w:t xml:space="preserve">’, Brighton, </w:t>
      </w:r>
      <w:r w:rsidR="000708F8" w:rsidRPr="008343E1">
        <w:rPr>
          <w:sz w:val="24"/>
          <w:szCs w:val="24"/>
        </w:rPr>
        <w:t>Erlbaum.</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EVANS, J. B. (2006)</w:t>
      </w:r>
      <w:r w:rsidR="00B30162" w:rsidRPr="008343E1">
        <w:rPr>
          <w:sz w:val="24"/>
          <w:szCs w:val="24"/>
        </w:rPr>
        <w:t>,</w:t>
      </w:r>
      <w:r w:rsidRPr="008343E1">
        <w:rPr>
          <w:sz w:val="24"/>
          <w:szCs w:val="24"/>
        </w:rPr>
        <w:t xml:space="preserve"> </w:t>
      </w:r>
      <w:r w:rsidR="00B30162" w:rsidRPr="008343E1">
        <w:rPr>
          <w:sz w:val="24"/>
          <w:szCs w:val="24"/>
        </w:rPr>
        <w:t>‘</w:t>
      </w:r>
      <w:r w:rsidRPr="008343E1">
        <w:rPr>
          <w:sz w:val="24"/>
          <w:szCs w:val="24"/>
        </w:rPr>
        <w:t xml:space="preserve">The </w:t>
      </w:r>
      <w:r w:rsidR="00C756EE" w:rsidRPr="008343E1">
        <w:rPr>
          <w:sz w:val="24"/>
          <w:szCs w:val="24"/>
        </w:rPr>
        <w:t xml:space="preserve">Heuristic-Analytic Theory </w:t>
      </w:r>
      <w:r w:rsidRPr="008343E1">
        <w:rPr>
          <w:sz w:val="24"/>
          <w:szCs w:val="24"/>
        </w:rPr>
        <w:t xml:space="preserve">of </w:t>
      </w:r>
      <w:r w:rsidR="00C756EE" w:rsidRPr="008343E1">
        <w:rPr>
          <w:sz w:val="24"/>
          <w:szCs w:val="24"/>
        </w:rPr>
        <w:t>Reasoning</w:t>
      </w:r>
      <w:r w:rsidR="009E2B4A">
        <w:rPr>
          <w:sz w:val="24"/>
          <w:szCs w:val="24"/>
        </w:rPr>
        <w:t>: Extension and E</w:t>
      </w:r>
      <w:r w:rsidR="00B30162" w:rsidRPr="008343E1">
        <w:rPr>
          <w:sz w:val="24"/>
          <w:szCs w:val="24"/>
        </w:rPr>
        <w:t>valuation’,</w:t>
      </w:r>
      <w:r w:rsidRPr="008343E1">
        <w:rPr>
          <w:sz w:val="24"/>
          <w:szCs w:val="24"/>
        </w:rPr>
        <w:t xml:space="preserve"> </w:t>
      </w:r>
      <w:r w:rsidRPr="008343E1">
        <w:rPr>
          <w:i/>
          <w:sz w:val="24"/>
          <w:szCs w:val="24"/>
        </w:rPr>
        <w:t>Psychonomic Bulletin &amp; Review</w:t>
      </w:r>
      <w:r w:rsidRPr="008343E1">
        <w:rPr>
          <w:sz w:val="24"/>
          <w:szCs w:val="24"/>
        </w:rPr>
        <w:t>, 13.3, pp. 378-85.</w:t>
      </w:r>
    </w:p>
    <w:p w:rsidR="000708F8" w:rsidRPr="008343E1" w:rsidRDefault="00464444"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sz w:val="24"/>
          <w:szCs w:val="24"/>
        </w:rPr>
        <w:t>EVANS, J. B. (2007),</w:t>
      </w:r>
      <w:r w:rsidR="000708F8" w:rsidRPr="008343E1">
        <w:rPr>
          <w:sz w:val="24"/>
          <w:szCs w:val="24"/>
        </w:rPr>
        <w:t xml:space="preserve"> </w:t>
      </w:r>
      <w:r w:rsidRPr="008343E1">
        <w:rPr>
          <w:sz w:val="24"/>
          <w:szCs w:val="24"/>
        </w:rPr>
        <w:t>‘</w:t>
      </w:r>
      <w:r w:rsidR="000708F8" w:rsidRPr="008343E1">
        <w:rPr>
          <w:rFonts w:eastAsia="MS Mincho"/>
          <w:sz w:val="24"/>
          <w:szCs w:val="24"/>
          <w:lang w:val="en-US" w:eastAsia="ja-JP"/>
        </w:rPr>
        <w:t xml:space="preserve">On the </w:t>
      </w:r>
      <w:r w:rsidR="00C756EE" w:rsidRPr="008343E1">
        <w:rPr>
          <w:rFonts w:eastAsia="MS Mincho"/>
          <w:sz w:val="24"/>
          <w:szCs w:val="24"/>
          <w:lang w:val="en-US" w:eastAsia="ja-JP"/>
        </w:rPr>
        <w:t xml:space="preserve">Resolution </w:t>
      </w:r>
      <w:r w:rsidR="000708F8" w:rsidRPr="008343E1">
        <w:rPr>
          <w:rFonts w:eastAsia="MS Mincho"/>
          <w:sz w:val="24"/>
          <w:szCs w:val="24"/>
          <w:lang w:val="en-US" w:eastAsia="ja-JP"/>
        </w:rPr>
        <w:t xml:space="preserve">of </w:t>
      </w:r>
      <w:r w:rsidR="00C756EE" w:rsidRPr="008343E1">
        <w:rPr>
          <w:rFonts w:eastAsia="MS Mincho"/>
          <w:sz w:val="24"/>
          <w:szCs w:val="24"/>
          <w:lang w:val="en-US" w:eastAsia="ja-JP"/>
        </w:rPr>
        <w:t xml:space="preserve">Conflict </w:t>
      </w:r>
      <w:r w:rsidR="000708F8" w:rsidRPr="008343E1">
        <w:rPr>
          <w:rFonts w:eastAsia="MS Mincho"/>
          <w:sz w:val="24"/>
          <w:szCs w:val="24"/>
          <w:lang w:val="en-US" w:eastAsia="ja-JP"/>
        </w:rPr>
        <w:t xml:space="preserve">in </w:t>
      </w:r>
      <w:r w:rsidR="00C756EE" w:rsidRPr="008343E1">
        <w:rPr>
          <w:rFonts w:eastAsia="MS Mincho"/>
          <w:sz w:val="24"/>
          <w:szCs w:val="24"/>
          <w:lang w:val="en-US" w:eastAsia="ja-JP"/>
        </w:rPr>
        <w:t xml:space="preserve">Dual Process Theories </w:t>
      </w:r>
      <w:r w:rsidRPr="008343E1">
        <w:rPr>
          <w:rFonts w:eastAsia="MS Mincho"/>
          <w:sz w:val="24"/>
          <w:szCs w:val="24"/>
          <w:lang w:val="en-US" w:eastAsia="ja-JP"/>
        </w:rPr>
        <w:t xml:space="preserve">of </w:t>
      </w:r>
      <w:r w:rsidR="00C756EE" w:rsidRPr="008343E1">
        <w:rPr>
          <w:rFonts w:eastAsia="MS Mincho"/>
          <w:sz w:val="24"/>
          <w:szCs w:val="24"/>
          <w:lang w:val="en-US" w:eastAsia="ja-JP"/>
        </w:rPr>
        <w:t>Reasoning’</w:t>
      </w:r>
      <w:r w:rsidRPr="008343E1">
        <w:rPr>
          <w:rFonts w:eastAsia="MS Mincho"/>
          <w:sz w:val="24"/>
          <w:szCs w:val="24"/>
          <w:lang w:val="en-US" w:eastAsia="ja-JP"/>
        </w:rPr>
        <w:t>,</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Thinking &amp; Reasoning</w:t>
      </w:r>
      <w:r w:rsidRPr="008343E1">
        <w:rPr>
          <w:rFonts w:eastAsia="MS Mincho"/>
          <w:i/>
          <w:sz w:val="24"/>
          <w:szCs w:val="24"/>
          <w:lang w:val="en-US" w:eastAsia="ja-JP"/>
        </w:rPr>
        <w:t>,</w:t>
      </w:r>
      <w:r w:rsidR="000708F8" w:rsidRPr="008343E1">
        <w:rPr>
          <w:rFonts w:eastAsia="MS Mincho"/>
          <w:i/>
          <w:sz w:val="24"/>
          <w:szCs w:val="24"/>
          <w:lang w:val="en-US" w:eastAsia="ja-JP"/>
        </w:rPr>
        <w:t xml:space="preserve"> </w:t>
      </w:r>
      <w:r w:rsidRPr="008343E1">
        <w:rPr>
          <w:rFonts w:eastAsia="MS Mincho"/>
          <w:sz w:val="24"/>
          <w:szCs w:val="24"/>
          <w:lang w:val="en-US" w:eastAsia="ja-JP"/>
        </w:rPr>
        <w:t>13, pp. 321-</w:t>
      </w:r>
      <w:r w:rsidR="000708F8" w:rsidRPr="008343E1">
        <w:rPr>
          <w:rFonts w:eastAsia="MS Mincho"/>
          <w:sz w:val="24"/>
          <w:szCs w:val="24"/>
          <w:lang w:val="en-US" w:eastAsia="ja-JP"/>
        </w:rPr>
        <w:t>39.</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 xml:space="preserve">EVANS, </w:t>
      </w:r>
      <w:r w:rsidR="00451EBB" w:rsidRPr="008343E1">
        <w:rPr>
          <w:sz w:val="24"/>
          <w:szCs w:val="24"/>
        </w:rPr>
        <w:t>J. B. &amp; OVER, D. E. (1996),</w:t>
      </w:r>
      <w:r w:rsidRPr="008343E1">
        <w:rPr>
          <w:sz w:val="24"/>
          <w:szCs w:val="24"/>
        </w:rPr>
        <w:t xml:space="preserve"> </w:t>
      </w:r>
      <w:r w:rsidR="00451EBB" w:rsidRPr="008343E1">
        <w:rPr>
          <w:sz w:val="24"/>
          <w:szCs w:val="24"/>
        </w:rPr>
        <w:t>‘</w:t>
      </w:r>
      <w:r w:rsidRPr="008343E1">
        <w:rPr>
          <w:i/>
          <w:sz w:val="24"/>
          <w:szCs w:val="24"/>
        </w:rPr>
        <w:t>Rationality &amp; Reasoning</w:t>
      </w:r>
      <w:r w:rsidR="00451EBB" w:rsidRPr="008343E1">
        <w:rPr>
          <w:i/>
          <w:sz w:val="24"/>
          <w:szCs w:val="24"/>
        </w:rPr>
        <w:t>’,</w:t>
      </w:r>
      <w:r w:rsidR="00451EBB" w:rsidRPr="008343E1">
        <w:rPr>
          <w:sz w:val="24"/>
          <w:szCs w:val="24"/>
        </w:rPr>
        <w:t xml:space="preserve"> Hove,</w:t>
      </w:r>
      <w:r w:rsidRPr="008343E1">
        <w:rPr>
          <w:sz w:val="24"/>
          <w:szCs w:val="24"/>
        </w:rPr>
        <w:t xml:space="preserve"> Psychology Press.</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 xml:space="preserve">EVANS, J. B., ALLEN, J. L., </w:t>
      </w:r>
      <w:r w:rsidR="006F610D" w:rsidRPr="008343E1">
        <w:rPr>
          <w:sz w:val="24"/>
          <w:szCs w:val="24"/>
        </w:rPr>
        <w:t>NEWSTEAD, S. E. &amp; POLLARD, P. (1994),</w:t>
      </w:r>
      <w:r w:rsidRPr="008343E1">
        <w:rPr>
          <w:sz w:val="24"/>
          <w:szCs w:val="24"/>
        </w:rPr>
        <w:t xml:space="preserve"> </w:t>
      </w:r>
      <w:r w:rsidR="006F610D" w:rsidRPr="008343E1">
        <w:rPr>
          <w:sz w:val="24"/>
          <w:szCs w:val="24"/>
        </w:rPr>
        <w:t>‘</w:t>
      </w:r>
      <w:r w:rsidRPr="008343E1">
        <w:rPr>
          <w:sz w:val="24"/>
          <w:szCs w:val="24"/>
        </w:rPr>
        <w:t xml:space="preserve">Debiasing by </w:t>
      </w:r>
      <w:r w:rsidR="0070356B" w:rsidRPr="008343E1">
        <w:rPr>
          <w:sz w:val="24"/>
          <w:szCs w:val="24"/>
        </w:rPr>
        <w:t>Instruction</w:t>
      </w:r>
      <w:r w:rsidRPr="008343E1">
        <w:rPr>
          <w:sz w:val="24"/>
          <w:szCs w:val="24"/>
        </w:rPr>
        <w:t xml:space="preserve">: The </w:t>
      </w:r>
      <w:r w:rsidR="0070356B" w:rsidRPr="008343E1">
        <w:rPr>
          <w:sz w:val="24"/>
          <w:szCs w:val="24"/>
        </w:rPr>
        <w:t xml:space="preserve">Case </w:t>
      </w:r>
      <w:r w:rsidRPr="008343E1">
        <w:rPr>
          <w:sz w:val="24"/>
          <w:szCs w:val="24"/>
        </w:rPr>
        <w:t xml:space="preserve">of </w:t>
      </w:r>
      <w:r w:rsidR="0070356B" w:rsidRPr="008343E1">
        <w:rPr>
          <w:sz w:val="24"/>
          <w:szCs w:val="24"/>
        </w:rPr>
        <w:t>Belief Bias’</w:t>
      </w:r>
      <w:r w:rsidR="006F610D" w:rsidRPr="008343E1">
        <w:rPr>
          <w:sz w:val="24"/>
          <w:szCs w:val="24"/>
        </w:rPr>
        <w:t xml:space="preserve">, </w:t>
      </w:r>
      <w:r w:rsidRPr="008343E1">
        <w:rPr>
          <w:i/>
          <w:sz w:val="24"/>
          <w:szCs w:val="24"/>
        </w:rPr>
        <w:t>European Journal of Cognitive Psychology</w:t>
      </w:r>
      <w:r w:rsidRPr="008343E1">
        <w:rPr>
          <w:sz w:val="24"/>
          <w:szCs w:val="24"/>
        </w:rPr>
        <w:t xml:space="preserve">, </w:t>
      </w:r>
      <w:proofErr w:type="gramStart"/>
      <w:r w:rsidRPr="008343E1">
        <w:rPr>
          <w:sz w:val="24"/>
          <w:szCs w:val="24"/>
        </w:rPr>
        <w:t>6</w:t>
      </w:r>
      <w:proofErr w:type="gramEnd"/>
      <w:r w:rsidRPr="008343E1">
        <w:rPr>
          <w:sz w:val="24"/>
          <w:szCs w:val="24"/>
        </w:rPr>
        <w:t>, pp.</w:t>
      </w:r>
      <w:r w:rsidR="006F610D" w:rsidRPr="008343E1">
        <w:rPr>
          <w:sz w:val="24"/>
          <w:szCs w:val="24"/>
        </w:rPr>
        <w:t xml:space="preserve"> 263-</w:t>
      </w:r>
      <w:r w:rsidRPr="008343E1">
        <w:rPr>
          <w:sz w:val="24"/>
          <w:szCs w:val="24"/>
        </w:rPr>
        <w:t xml:space="preserve">85. </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EVANS, J. B., BARST</w:t>
      </w:r>
      <w:r w:rsidR="006F610D" w:rsidRPr="008343E1">
        <w:rPr>
          <w:sz w:val="24"/>
          <w:szCs w:val="24"/>
        </w:rPr>
        <w:t>ON, J. L., &amp; POLLARD, P. (1983),</w:t>
      </w:r>
      <w:r w:rsidRPr="008343E1">
        <w:rPr>
          <w:sz w:val="24"/>
          <w:szCs w:val="24"/>
        </w:rPr>
        <w:t xml:space="preserve"> </w:t>
      </w:r>
      <w:r w:rsidR="006F610D" w:rsidRPr="008343E1">
        <w:rPr>
          <w:sz w:val="24"/>
          <w:szCs w:val="24"/>
        </w:rPr>
        <w:t>‘</w:t>
      </w:r>
      <w:r w:rsidRPr="008343E1">
        <w:rPr>
          <w:sz w:val="24"/>
          <w:szCs w:val="24"/>
        </w:rPr>
        <w:t xml:space="preserve">On the </w:t>
      </w:r>
      <w:r w:rsidR="0070356B" w:rsidRPr="008343E1">
        <w:rPr>
          <w:sz w:val="24"/>
          <w:szCs w:val="24"/>
        </w:rPr>
        <w:t xml:space="preserve">Conflict Between Logic </w:t>
      </w:r>
      <w:r w:rsidRPr="008343E1">
        <w:rPr>
          <w:sz w:val="24"/>
          <w:szCs w:val="24"/>
        </w:rPr>
        <w:t xml:space="preserve">and </w:t>
      </w:r>
      <w:r w:rsidR="0070356B" w:rsidRPr="008343E1">
        <w:rPr>
          <w:sz w:val="24"/>
          <w:szCs w:val="24"/>
        </w:rPr>
        <w:t xml:space="preserve">Belief </w:t>
      </w:r>
      <w:r w:rsidR="006F610D" w:rsidRPr="008343E1">
        <w:rPr>
          <w:sz w:val="24"/>
          <w:szCs w:val="24"/>
        </w:rPr>
        <w:t xml:space="preserve">in </w:t>
      </w:r>
      <w:r w:rsidR="0070356B" w:rsidRPr="008343E1">
        <w:rPr>
          <w:sz w:val="24"/>
          <w:szCs w:val="24"/>
        </w:rPr>
        <w:t>Syllogistic Reasoning’</w:t>
      </w:r>
      <w:r w:rsidR="006F610D" w:rsidRPr="008343E1">
        <w:rPr>
          <w:sz w:val="24"/>
          <w:szCs w:val="24"/>
        </w:rPr>
        <w:t>,</w:t>
      </w:r>
      <w:r w:rsidRPr="008343E1">
        <w:rPr>
          <w:sz w:val="24"/>
          <w:szCs w:val="24"/>
        </w:rPr>
        <w:t xml:space="preserve"> </w:t>
      </w:r>
      <w:r w:rsidRPr="008343E1">
        <w:rPr>
          <w:i/>
          <w:iCs/>
          <w:sz w:val="24"/>
          <w:szCs w:val="24"/>
        </w:rPr>
        <w:t>Memory &amp; cognition</w:t>
      </w:r>
      <w:r w:rsidR="006F610D" w:rsidRPr="008343E1">
        <w:rPr>
          <w:i/>
          <w:iCs/>
          <w:sz w:val="24"/>
          <w:szCs w:val="24"/>
        </w:rPr>
        <w:t>,</w:t>
      </w:r>
      <w:r w:rsidR="006F610D" w:rsidRPr="008343E1">
        <w:rPr>
          <w:sz w:val="24"/>
          <w:szCs w:val="24"/>
        </w:rPr>
        <w:t xml:space="preserve"> 11, </w:t>
      </w:r>
      <w:r w:rsidRPr="008343E1">
        <w:rPr>
          <w:sz w:val="24"/>
          <w:szCs w:val="24"/>
        </w:rPr>
        <w:t>3, pp.</w:t>
      </w:r>
      <w:r w:rsidR="006F610D" w:rsidRPr="008343E1">
        <w:rPr>
          <w:sz w:val="24"/>
          <w:szCs w:val="24"/>
        </w:rPr>
        <w:t xml:space="preserve"> </w:t>
      </w:r>
      <w:r w:rsidRPr="008343E1">
        <w:rPr>
          <w:sz w:val="24"/>
          <w:szCs w:val="24"/>
        </w:rPr>
        <w:t>295-306.</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EV</w:t>
      </w:r>
      <w:r w:rsidR="00516E8B" w:rsidRPr="008343E1">
        <w:rPr>
          <w:rFonts w:eastAsia="MS Mincho"/>
          <w:sz w:val="24"/>
          <w:szCs w:val="24"/>
          <w:lang w:val="en-US" w:eastAsia="ja-JP"/>
        </w:rPr>
        <w:t>ANS, J.B., &amp; OVER, D. E. (1996),</w:t>
      </w:r>
      <w:r w:rsidRPr="008343E1">
        <w:rPr>
          <w:rFonts w:eastAsia="MS Mincho"/>
          <w:sz w:val="24"/>
          <w:szCs w:val="24"/>
          <w:lang w:val="en-US" w:eastAsia="ja-JP"/>
        </w:rPr>
        <w:t xml:space="preserve"> </w:t>
      </w:r>
      <w:r w:rsidR="00516E8B" w:rsidRPr="008343E1">
        <w:rPr>
          <w:rFonts w:eastAsia="MS Mincho"/>
          <w:sz w:val="24"/>
          <w:szCs w:val="24"/>
          <w:lang w:val="en-US" w:eastAsia="ja-JP"/>
        </w:rPr>
        <w:t>‘</w:t>
      </w:r>
      <w:r w:rsidRPr="008343E1">
        <w:rPr>
          <w:rFonts w:eastAsia="MS Mincho"/>
          <w:i/>
          <w:sz w:val="24"/>
          <w:szCs w:val="24"/>
          <w:lang w:val="en-US" w:eastAsia="ja-JP"/>
        </w:rPr>
        <w:t xml:space="preserve">Rationality and </w:t>
      </w:r>
      <w:r w:rsidR="0070356B" w:rsidRPr="008343E1">
        <w:rPr>
          <w:rFonts w:eastAsia="MS Mincho"/>
          <w:i/>
          <w:sz w:val="24"/>
          <w:szCs w:val="24"/>
          <w:lang w:val="en-US" w:eastAsia="ja-JP"/>
        </w:rPr>
        <w:t>Reasoning’</w:t>
      </w:r>
      <w:r w:rsidR="00516E8B" w:rsidRPr="008343E1">
        <w:rPr>
          <w:rFonts w:eastAsia="MS Mincho"/>
          <w:i/>
          <w:sz w:val="24"/>
          <w:szCs w:val="24"/>
          <w:lang w:val="en-US" w:eastAsia="ja-JP"/>
        </w:rPr>
        <w:t>,</w:t>
      </w:r>
      <w:r w:rsidR="00F42B4F" w:rsidRPr="008343E1">
        <w:rPr>
          <w:rFonts w:eastAsia="MS Mincho"/>
          <w:sz w:val="24"/>
          <w:szCs w:val="24"/>
          <w:lang w:val="en-US" w:eastAsia="ja-JP"/>
        </w:rPr>
        <w:t xml:space="preserve"> Hove, England,</w:t>
      </w:r>
      <w:r w:rsidRPr="008343E1">
        <w:rPr>
          <w:rFonts w:eastAsia="MS Mincho"/>
          <w:sz w:val="24"/>
          <w:szCs w:val="24"/>
          <w:lang w:val="en-US" w:eastAsia="ja-JP"/>
        </w:rPr>
        <w:t xml:space="preserve"> Psychology Press.</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de-AT" w:eastAsia="ja-JP"/>
        </w:rPr>
        <w:t>EVANS</w:t>
      </w:r>
      <w:proofErr w:type="gramStart"/>
      <w:r w:rsidRPr="008343E1">
        <w:rPr>
          <w:rFonts w:eastAsia="MS Mincho"/>
          <w:sz w:val="24"/>
          <w:szCs w:val="24"/>
          <w:lang w:val="de-AT" w:eastAsia="ja-JP"/>
        </w:rPr>
        <w:t>,</w:t>
      </w:r>
      <w:r w:rsidR="003319CD" w:rsidRPr="008343E1">
        <w:rPr>
          <w:rFonts w:eastAsia="MS Mincho"/>
          <w:sz w:val="24"/>
          <w:szCs w:val="24"/>
          <w:lang w:val="de-AT" w:eastAsia="ja-JP"/>
        </w:rPr>
        <w:t xml:space="preserve"> J.B.,</w:t>
      </w:r>
      <w:proofErr w:type="gramEnd"/>
      <w:r w:rsidR="003319CD" w:rsidRPr="008343E1">
        <w:rPr>
          <w:rFonts w:eastAsia="MS Mincho"/>
          <w:sz w:val="24"/>
          <w:szCs w:val="24"/>
          <w:lang w:val="de-AT" w:eastAsia="ja-JP"/>
        </w:rPr>
        <w:t xml:space="preserve"> &amp; STANOVICH, K.E. (2013),</w:t>
      </w:r>
      <w:r w:rsidRPr="008343E1">
        <w:rPr>
          <w:rFonts w:eastAsia="MS Mincho"/>
          <w:sz w:val="24"/>
          <w:szCs w:val="24"/>
          <w:lang w:val="de-AT" w:eastAsia="ja-JP"/>
        </w:rPr>
        <w:t xml:space="preserve"> </w:t>
      </w:r>
      <w:r w:rsidR="003319CD" w:rsidRPr="008343E1">
        <w:rPr>
          <w:rFonts w:eastAsia="MS Mincho"/>
          <w:sz w:val="24"/>
          <w:szCs w:val="24"/>
          <w:lang w:val="en-US" w:eastAsia="ja-JP"/>
        </w:rPr>
        <w:t>‘D</w:t>
      </w:r>
      <w:r w:rsidRPr="008343E1">
        <w:rPr>
          <w:rFonts w:eastAsia="MS Mincho"/>
          <w:sz w:val="24"/>
          <w:szCs w:val="24"/>
          <w:lang w:val="en-US" w:eastAsia="ja-JP"/>
        </w:rPr>
        <w:t>ual-Process Theories of Higher Cognition: Advancing the Debate</w:t>
      </w:r>
      <w:r w:rsidR="003319CD" w:rsidRPr="008343E1">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 xml:space="preserve">Perspectives on Psychological </w:t>
      </w:r>
      <w:r w:rsidR="003319CD" w:rsidRPr="008343E1">
        <w:rPr>
          <w:rFonts w:eastAsia="MS Mincho"/>
          <w:sz w:val="24"/>
          <w:szCs w:val="24"/>
          <w:lang w:val="en-US" w:eastAsia="ja-JP"/>
        </w:rPr>
        <w:t>Science,</w:t>
      </w:r>
      <w:r w:rsidR="008D4328" w:rsidRPr="008343E1">
        <w:rPr>
          <w:rFonts w:eastAsia="MS Mincho"/>
          <w:sz w:val="24"/>
          <w:szCs w:val="24"/>
          <w:lang w:val="en-US" w:eastAsia="ja-JP"/>
        </w:rPr>
        <w:t xml:space="preserve"> 8, p</w:t>
      </w:r>
      <w:r w:rsidRPr="008343E1">
        <w:rPr>
          <w:rFonts w:eastAsia="MS Mincho"/>
          <w:sz w:val="24"/>
          <w:szCs w:val="24"/>
          <w:lang w:val="en-US" w:eastAsia="ja-JP"/>
        </w:rPr>
        <w:t>. 223.</w:t>
      </w:r>
    </w:p>
    <w:p w:rsidR="000708F8" w:rsidRPr="008343E1" w:rsidRDefault="002C6D06" w:rsidP="000708F8">
      <w:pPr>
        <w:pStyle w:val="ListParagraph"/>
        <w:numPr>
          <w:ilvl w:val="0"/>
          <w:numId w:val="35"/>
        </w:numPr>
        <w:spacing w:before="60" w:after="60" w:line="276" w:lineRule="auto"/>
        <w:rPr>
          <w:rFonts w:ascii="Calibri" w:hAnsi="Calibri"/>
        </w:rPr>
      </w:pPr>
      <w:r w:rsidRPr="008343E1">
        <w:rPr>
          <w:rFonts w:ascii="Calibri" w:hAnsi="Calibri"/>
        </w:rPr>
        <w:t>GLANZMAN, D. L. (1995),</w:t>
      </w:r>
      <w:r w:rsidR="000708F8" w:rsidRPr="008343E1">
        <w:rPr>
          <w:rFonts w:ascii="Calibri" w:hAnsi="Calibri"/>
        </w:rPr>
        <w:t xml:space="preserve"> </w:t>
      </w:r>
      <w:r w:rsidRPr="008343E1">
        <w:rPr>
          <w:rFonts w:ascii="Calibri" w:hAnsi="Calibri"/>
        </w:rPr>
        <w:t>‘</w:t>
      </w:r>
      <w:r w:rsidR="000708F8" w:rsidRPr="008343E1">
        <w:rPr>
          <w:rFonts w:ascii="Calibri" w:hAnsi="Calibri"/>
        </w:rPr>
        <w:t xml:space="preserve">The Cellular Basis of Classical Conditioning in </w:t>
      </w:r>
      <w:r w:rsidR="000708F8" w:rsidRPr="008343E1">
        <w:rPr>
          <w:rFonts w:ascii="Calibri" w:hAnsi="Calibri"/>
          <w:i/>
        </w:rPr>
        <w:t xml:space="preserve">Aplysia Californica </w:t>
      </w:r>
      <w:r w:rsidR="000708F8" w:rsidRPr="008343E1">
        <w:rPr>
          <w:rFonts w:ascii="Calibri" w:hAnsi="Calibri"/>
        </w:rPr>
        <w:t>– It’s Less Simple Than you Think</w:t>
      </w:r>
      <w:r w:rsidRPr="008343E1">
        <w:rPr>
          <w:rFonts w:ascii="Calibri" w:hAnsi="Calibri"/>
        </w:rPr>
        <w:t xml:space="preserve">’, </w:t>
      </w:r>
      <w:r w:rsidR="000708F8" w:rsidRPr="008343E1">
        <w:rPr>
          <w:rFonts w:ascii="Calibri" w:hAnsi="Calibri"/>
          <w:i/>
        </w:rPr>
        <w:t xml:space="preserve">Trends in Neuroscience </w:t>
      </w:r>
      <w:r w:rsidRPr="008343E1">
        <w:rPr>
          <w:rFonts w:ascii="Calibri" w:hAnsi="Calibri"/>
        </w:rPr>
        <w:t>18, pp.</w:t>
      </w:r>
      <w:r w:rsidR="000708F8" w:rsidRPr="008343E1">
        <w:rPr>
          <w:rFonts w:ascii="Calibri" w:hAnsi="Calibri"/>
        </w:rPr>
        <w:t xml:space="preserve"> 30-6.</w:t>
      </w:r>
      <w:r w:rsidR="000708F8" w:rsidRPr="008343E1">
        <w:rPr>
          <w:rFonts w:ascii="Calibri" w:hAnsi="Calibri"/>
          <w:b/>
          <w:i/>
          <w:u w:val="single"/>
          <w:lang w:val="en-GB" w:eastAsia="en-GB"/>
        </w:rPr>
        <w:t xml:space="preserve"> </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GOULD, S. J. (1992)</w:t>
      </w:r>
      <w:r w:rsidR="00B0666E" w:rsidRPr="008343E1">
        <w:rPr>
          <w:sz w:val="24"/>
          <w:szCs w:val="24"/>
        </w:rPr>
        <w:t>,</w:t>
      </w:r>
      <w:r w:rsidRPr="008343E1">
        <w:rPr>
          <w:i/>
          <w:sz w:val="24"/>
          <w:szCs w:val="24"/>
        </w:rPr>
        <w:t xml:space="preserve"> </w:t>
      </w:r>
      <w:r w:rsidR="00B0666E" w:rsidRPr="008343E1">
        <w:rPr>
          <w:i/>
          <w:sz w:val="24"/>
          <w:szCs w:val="24"/>
        </w:rPr>
        <w:t>‘Bully for Brontosaurus: Reflections in N</w:t>
      </w:r>
      <w:r w:rsidRPr="008343E1">
        <w:rPr>
          <w:i/>
          <w:sz w:val="24"/>
          <w:szCs w:val="24"/>
        </w:rPr>
        <w:t xml:space="preserve">atural </w:t>
      </w:r>
      <w:r w:rsidR="0070356B" w:rsidRPr="008343E1">
        <w:rPr>
          <w:i/>
          <w:sz w:val="24"/>
          <w:szCs w:val="24"/>
        </w:rPr>
        <w:t>History’</w:t>
      </w:r>
      <w:r w:rsidR="008D2A42">
        <w:rPr>
          <w:sz w:val="24"/>
          <w:szCs w:val="24"/>
        </w:rPr>
        <w:t>,</w:t>
      </w:r>
      <w:r w:rsidRPr="008343E1">
        <w:rPr>
          <w:sz w:val="24"/>
          <w:szCs w:val="24"/>
        </w:rPr>
        <w:t xml:space="preserve"> WW Norton &amp; Company.</w:t>
      </w:r>
    </w:p>
    <w:p w:rsidR="000708F8" w:rsidRPr="008343E1" w:rsidRDefault="00B0666E" w:rsidP="000708F8">
      <w:pPr>
        <w:pStyle w:val="ListParagraph"/>
        <w:numPr>
          <w:ilvl w:val="0"/>
          <w:numId w:val="35"/>
        </w:numPr>
        <w:spacing w:before="60" w:after="60" w:line="276" w:lineRule="auto"/>
        <w:rPr>
          <w:rFonts w:ascii="Calibri" w:hAnsi="Calibri"/>
          <w:lang w:val="en-GB"/>
        </w:rPr>
      </w:pPr>
      <w:r w:rsidRPr="008343E1">
        <w:rPr>
          <w:rFonts w:ascii="Calibri" w:hAnsi="Calibri" w:cs="Helvetica-Bold"/>
        </w:rPr>
        <w:t>HAWKINS, R. D. (1997),</w:t>
      </w:r>
      <w:r w:rsidR="000708F8" w:rsidRPr="008343E1">
        <w:rPr>
          <w:rFonts w:ascii="Calibri" w:hAnsi="Calibri" w:cs="Helvetica-Bold"/>
        </w:rPr>
        <w:t xml:space="preserve"> </w:t>
      </w:r>
      <w:r w:rsidRPr="008343E1">
        <w:rPr>
          <w:rFonts w:ascii="Calibri" w:hAnsi="Calibri" w:cs="Helvetica-Bold"/>
        </w:rPr>
        <w:t>‘</w:t>
      </w:r>
      <w:r w:rsidR="000708F8" w:rsidRPr="008343E1">
        <w:rPr>
          <w:rFonts w:ascii="Calibri" w:hAnsi="Calibri" w:cs="Helvetica-Bold"/>
          <w:bCs/>
          <w:i/>
        </w:rPr>
        <w:t>LTP and Learning: Let’s Stay Together.</w:t>
      </w:r>
      <w:r w:rsidR="000708F8" w:rsidRPr="008343E1">
        <w:rPr>
          <w:rFonts w:ascii="Calibri" w:hAnsi="Calibri" w:cs="Helvetica-Bold"/>
          <w:bCs/>
        </w:rPr>
        <w:t xml:space="preserve"> </w:t>
      </w:r>
      <w:r w:rsidR="000708F8" w:rsidRPr="008343E1">
        <w:rPr>
          <w:rFonts w:ascii="Calibri" w:hAnsi="Calibri"/>
          <w:i/>
        </w:rPr>
        <w:t xml:space="preserve">Commentary on </w:t>
      </w:r>
      <w:r w:rsidR="008506C0">
        <w:rPr>
          <w:rFonts w:ascii="Calibri" w:hAnsi="Calibri"/>
          <w:bCs/>
          <w:i/>
        </w:rPr>
        <w:t>Shors, T. J., Matzel, L.D.</w:t>
      </w:r>
      <w:r w:rsidR="000708F8" w:rsidRPr="008343E1">
        <w:rPr>
          <w:rFonts w:ascii="Calibri" w:hAnsi="Calibri"/>
          <w:bCs/>
          <w:i/>
        </w:rPr>
        <w:t xml:space="preserve"> </w:t>
      </w:r>
      <w:r w:rsidRPr="008343E1">
        <w:rPr>
          <w:rFonts w:ascii="Calibri" w:hAnsi="Calibri"/>
          <w:bCs/>
          <w:i/>
        </w:rPr>
        <w:t>(</w:t>
      </w:r>
      <w:r w:rsidR="000708F8" w:rsidRPr="008343E1">
        <w:rPr>
          <w:rFonts w:ascii="Calibri" w:hAnsi="Calibri"/>
          <w:i/>
        </w:rPr>
        <w:t>1997</w:t>
      </w:r>
      <w:r w:rsidRPr="008343E1">
        <w:rPr>
          <w:rFonts w:ascii="Calibri" w:hAnsi="Calibri"/>
          <w:i/>
        </w:rPr>
        <w:t>)</w:t>
      </w:r>
      <w:r w:rsidR="000708F8" w:rsidRPr="008343E1">
        <w:rPr>
          <w:rFonts w:ascii="Calibri" w:hAnsi="Calibri"/>
        </w:rPr>
        <w:t>.</w:t>
      </w:r>
    </w:p>
    <w:p w:rsidR="000708F8" w:rsidRPr="008343E1" w:rsidRDefault="000708F8" w:rsidP="000708F8">
      <w:pPr>
        <w:pStyle w:val="Kleurrijkelijst-accent11"/>
        <w:numPr>
          <w:ilvl w:val="0"/>
          <w:numId w:val="35"/>
        </w:numPr>
        <w:spacing w:after="0" w:line="240" w:lineRule="auto"/>
        <w:rPr>
          <w:b/>
          <w:i/>
          <w:sz w:val="24"/>
          <w:szCs w:val="24"/>
          <w:u w:val="single"/>
        </w:rPr>
      </w:pPr>
      <w:r w:rsidRPr="008343E1">
        <w:rPr>
          <w:sz w:val="24"/>
          <w:szCs w:val="24"/>
        </w:rPr>
        <w:t>HEBB, D. O. (1949)</w:t>
      </w:r>
      <w:r w:rsidR="00B0666E" w:rsidRPr="008343E1">
        <w:rPr>
          <w:sz w:val="24"/>
          <w:szCs w:val="24"/>
        </w:rPr>
        <w:t>,</w:t>
      </w:r>
      <w:r w:rsidRPr="008343E1">
        <w:rPr>
          <w:sz w:val="24"/>
          <w:szCs w:val="24"/>
        </w:rPr>
        <w:t xml:space="preserve"> </w:t>
      </w:r>
      <w:r w:rsidRPr="008343E1">
        <w:rPr>
          <w:i/>
          <w:sz w:val="24"/>
          <w:szCs w:val="24"/>
        </w:rPr>
        <w:t>T</w:t>
      </w:r>
      <w:r w:rsidR="00B0666E" w:rsidRPr="008343E1">
        <w:rPr>
          <w:i/>
          <w:sz w:val="24"/>
          <w:szCs w:val="24"/>
        </w:rPr>
        <w:t>he O</w:t>
      </w:r>
      <w:r w:rsidRPr="008343E1">
        <w:rPr>
          <w:i/>
          <w:sz w:val="24"/>
          <w:szCs w:val="24"/>
        </w:rPr>
        <w:t>rganization of Behavior</w:t>
      </w:r>
      <w:r w:rsidR="00B0666E" w:rsidRPr="008343E1">
        <w:rPr>
          <w:i/>
          <w:sz w:val="24"/>
          <w:szCs w:val="24"/>
        </w:rPr>
        <w:t>,</w:t>
      </w:r>
      <w:r w:rsidR="00B0666E" w:rsidRPr="008343E1">
        <w:rPr>
          <w:sz w:val="24"/>
          <w:szCs w:val="24"/>
        </w:rPr>
        <w:t xml:space="preserve"> New York,</w:t>
      </w:r>
      <w:r w:rsidRPr="008343E1">
        <w:rPr>
          <w:sz w:val="24"/>
          <w:szCs w:val="24"/>
        </w:rPr>
        <w:t xml:space="preserve"> John Wiley.</w:t>
      </w:r>
    </w:p>
    <w:p w:rsidR="000708F8" w:rsidRPr="008343E1" w:rsidRDefault="00B0666E" w:rsidP="000708F8">
      <w:pPr>
        <w:pStyle w:val="ListParagraph"/>
        <w:widowControl w:val="0"/>
        <w:numPr>
          <w:ilvl w:val="0"/>
          <w:numId w:val="35"/>
        </w:numPr>
        <w:autoSpaceDE w:val="0"/>
        <w:autoSpaceDN w:val="0"/>
        <w:adjustRightInd w:val="0"/>
        <w:rPr>
          <w:rFonts w:ascii="Calibri" w:hAnsi="Calibri" w:cs="Helvetica Neue"/>
          <w:color w:val="262626"/>
        </w:rPr>
      </w:pPr>
      <w:r w:rsidRPr="008343E1">
        <w:rPr>
          <w:rFonts w:ascii="Calibri" w:hAnsi="Calibri" w:cs="Helvetica Neue"/>
          <w:color w:val="262626"/>
        </w:rPr>
        <w:t>HOLENDER, D. (1986),</w:t>
      </w:r>
      <w:r w:rsidR="000708F8" w:rsidRPr="008343E1">
        <w:rPr>
          <w:rFonts w:ascii="Calibri" w:hAnsi="Calibri" w:cs="Helvetica Neue"/>
          <w:color w:val="262626"/>
        </w:rPr>
        <w:t xml:space="preserve"> </w:t>
      </w:r>
      <w:r w:rsidRPr="008343E1">
        <w:rPr>
          <w:rFonts w:ascii="Calibri" w:hAnsi="Calibri" w:cs="Helvetica Neue"/>
          <w:color w:val="262626"/>
        </w:rPr>
        <w:t>‘Semantic A</w:t>
      </w:r>
      <w:r w:rsidR="000708F8" w:rsidRPr="008343E1">
        <w:rPr>
          <w:rFonts w:ascii="Calibri" w:hAnsi="Calibri" w:cs="Helvetica Neue"/>
          <w:color w:val="262626"/>
        </w:rPr>
        <w:t xml:space="preserve">ctivation </w:t>
      </w:r>
      <w:r w:rsidRPr="008343E1">
        <w:rPr>
          <w:rFonts w:ascii="Calibri" w:hAnsi="Calibri" w:cs="Helvetica Neue"/>
          <w:color w:val="262626"/>
        </w:rPr>
        <w:t>W</w:t>
      </w:r>
      <w:r w:rsidR="000708F8" w:rsidRPr="008343E1">
        <w:rPr>
          <w:rFonts w:ascii="Calibri" w:hAnsi="Calibri" w:cs="Helvetica Neue"/>
          <w:color w:val="262626"/>
        </w:rPr>
        <w:t xml:space="preserve">ithout </w:t>
      </w:r>
      <w:r w:rsidRPr="008343E1">
        <w:rPr>
          <w:rFonts w:ascii="Calibri" w:hAnsi="Calibri" w:cs="Helvetica Neue"/>
          <w:color w:val="262626"/>
        </w:rPr>
        <w:t>C</w:t>
      </w:r>
      <w:r w:rsidR="000708F8" w:rsidRPr="008343E1">
        <w:rPr>
          <w:rFonts w:ascii="Calibri" w:hAnsi="Calibri" w:cs="Helvetica Neue"/>
          <w:color w:val="262626"/>
        </w:rPr>
        <w:t xml:space="preserve">onscious </w:t>
      </w:r>
      <w:r w:rsidRPr="008343E1">
        <w:rPr>
          <w:rFonts w:ascii="Calibri" w:hAnsi="Calibri" w:cs="Helvetica Neue"/>
          <w:color w:val="262626"/>
        </w:rPr>
        <w:t>I</w:t>
      </w:r>
      <w:r w:rsidR="000708F8" w:rsidRPr="008343E1">
        <w:rPr>
          <w:rFonts w:ascii="Calibri" w:hAnsi="Calibri" w:cs="Helvetica Neue"/>
          <w:color w:val="262626"/>
        </w:rPr>
        <w:t xml:space="preserve">dentification in </w:t>
      </w:r>
      <w:r w:rsidRPr="008343E1">
        <w:rPr>
          <w:rFonts w:ascii="Calibri" w:hAnsi="Calibri" w:cs="Helvetica Neue"/>
          <w:color w:val="262626"/>
        </w:rPr>
        <w:t>D</w:t>
      </w:r>
      <w:r w:rsidR="000708F8" w:rsidRPr="008343E1">
        <w:rPr>
          <w:rFonts w:ascii="Calibri" w:hAnsi="Calibri" w:cs="Helvetica Neue"/>
          <w:color w:val="262626"/>
        </w:rPr>
        <w:t xml:space="preserve">ichotic </w:t>
      </w:r>
      <w:r w:rsidRPr="008343E1">
        <w:rPr>
          <w:rFonts w:ascii="Calibri" w:hAnsi="Calibri" w:cs="Helvetica Neue"/>
          <w:color w:val="262626"/>
        </w:rPr>
        <w:t>L</w:t>
      </w:r>
      <w:r w:rsidR="00672615" w:rsidRPr="008343E1">
        <w:rPr>
          <w:rFonts w:ascii="Calibri" w:hAnsi="Calibri" w:cs="Helvetica Neue"/>
          <w:color w:val="262626"/>
        </w:rPr>
        <w:t>istening, P</w:t>
      </w:r>
      <w:r w:rsidR="00DC27B4">
        <w:rPr>
          <w:rFonts w:ascii="Calibri" w:hAnsi="Calibri" w:cs="Helvetica Neue"/>
          <w:color w:val="262626"/>
        </w:rPr>
        <w:t>arafoveal V</w:t>
      </w:r>
      <w:r w:rsidR="000708F8" w:rsidRPr="008343E1">
        <w:rPr>
          <w:rFonts w:ascii="Calibri" w:hAnsi="Calibri" w:cs="Helvetica Neue"/>
          <w:color w:val="262626"/>
        </w:rPr>
        <w:t xml:space="preserve">ision, and </w:t>
      </w:r>
      <w:r w:rsidR="0070356B" w:rsidRPr="008343E1">
        <w:rPr>
          <w:rFonts w:ascii="Calibri" w:hAnsi="Calibri" w:cs="Helvetica Neue"/>
          <w:color w:val="262626"/>
        </w:rPr>
        <w:t>Visual Masking</w:t>
      </w:r>
      <w:r w:rsidR="000708F8" w:rsidRPr="008343E1">
        <w:rPr>
          <w:rFonts w:ascii="Calibri" w:hAnsi="Calibri" w:cs="Helvetica Neue"/>
          <w:color w:val="262626"/>
        </w:rPr>
        <w:t xml:space="preserve">: A </w:t>
      </w:r>
      <w:r w:rsidR="0070356B" w:rsidRPr="008343E1">
        <w:rPr>
          <w:rFonts w:ascii="Calibri" w:hAnsi="Calibri" w:cs="Helvetica Neue"/>
          <w:color w:val="262626"/>
        </w:rPr>
        <w:t xml:space="preserve">Survey </w:t>
      </w:r>
      <w:r w:rsidR="000708F8" w:rsidRPr="008343E1">
        <w:rPr>
          <w:rFonts w:ascii="Calibri" w:hAnsi="Calibri" w:cs="Helvetica Neue"/>
          <w:color w:val="262626"/>
        </w:rPr>
        <w:t>and</w:t>
      </w:r>
      <w:r w:rsidR="00672615" w:rsidRPr="008343E1">
        <w:rPr>
          <w:rFonts w:ascii="Calibri" w:hAnsi="Calibri" w:cs="Helvetica Neue"/>
          <w:color w:val="262626"/>
        </w:rPr>
        <w:t xml:space="preserve"> </w:t>
      </w:r>
      <w:r w:rsidR="0070356B" w:rsidRPr="008343E1">
        <w:rPr>
          <w:rFonts w:ascii="Calibri" w:hAnsi="Calibri" w:cs="Helvetica Neue"/>
          <w:color w:val="262626"/>
        </w:rPr>
        <w:t>Appraisal</w:t>
      </w:r>
      <w:r w:rsidR="00672615" w:rsidRPr="008343E1">
        <w:rPr>
          <w:rFonts w:ascii="Calibri" w:hAnsi="Calibri" w:cs="Helvetica Neue"/>
          <w:color w:val="262626"/>
        </w:rPr>
        <w:t>,</w:t>
      </w:r>
      <w:r w:rsidR="000708F8" w:rsidRPr="008343E1">
        <w:rPr>
          <w:rFonts w:ascii="Calibri" w:hAnsi="Calibri" w:cs="Helvetica Neue"/>
          <w:color w:val="262626"/>
        </w:rPr>
        <w:t xml:space="preserve"> </w:t>
      </w:r>
      <w:r w:rsidR="000708F8" w:rsidRPr="008343E1">
        <w:rPr>
          <w:rFonts w:ascii="Calibri" w:hAnsi="Calibri" w:cs="Helvetica Neue"/>
          <w:i/>
          <w:color w:val="262626"/>
        </w:rPr>
        <w:t>Behavioral and Brain Sciences</w:t>
      </w:r>
      <w:r w:rsidR="00672615" w:rsidRPr="008343E1">
        <w:rPr>
          <w:rFonts w:ascii="Calibri" w:hAnsi="Calibri" w:cs="Helvetica Neue"/>
          <w:color w:val="262626"/>
        </w:rPr>
        <w:t>, Vol. 9, </w:t>
      </w:r>
      <w:r w:rsidR="000708F8" w:rsidRPr="008343E1">
        <w:rPr>
          <w:rFonts w:ascii="Calibri" w:hAnsi="Calibri" w:cs="Helvetica Neue"/>
          <w:color w:val="262626"/>
        </w:rPr>
        <w:t>01.</w:t>
      </w:r>
    </w:p>
    <w:p w:rsidR="000708F8" w:rsidRPr="008343E1" w:rsidRDefault="000708F8" w:rsidP="000708F8">
      <w:pPr>
        <w:pStyle w:val="ListParagraph"/>
        <w:numPr>
          <w:ilvl w:val="0"/>
          <w:numId w:val="35"/>
        </w:numPr>
        <w:rPr>
          <w:rFonts w:ascii="Calibri" w:hAnsi="Calibri" w:cs="Helvetica Neue"/>
          <w:color w:val="262626"/>
        </w:rPr>
      </w:pPr>
      <w:r w:rsidRPr="008343E1">
        <w:rPr>
          <w:rFonts w:ascii="Calibri" w:hAnsi="Calibri" w:cs="Helvetica Neue"/>
          <w:color w:val="262626"/>
        </w:rPr>
        <w:t>HUANG, Y. &amp;</w:t>
      </w:r>
      <w:r w:rsidR="0070627E" w:rsidRPr="008343E1">
        <w:rPr>
          <w:rFonts w:ascii="Calibri" w:hAnsi="Calibri" w:cs="Helvetica Neue"/>
          <w:color w:val="262626"/>
        </w:rPr>
        <w:t xml:space="preserve"> RAO, R.P.N. (2011),</w:t>
      </w:r>
      <w:r w:rsidRPr="008343E1">
        <w:rPr>
          <w:rFonts w:ascii="Calibri" w:hAnsi="Calibri" w:cs="Helvetica Neue"/>
          <w:color w:val="262626"/>
        </w:rPr>
        <w:t xml:space="preserve"> </w:t>
      </w:r>
      <w:r w:rsidR="0070627E" w:rsidRPr="008343E1">
        <w:rPr>
          <w:rFonts w:ascii="Calibri" w:hAnsi="Calibri" w:cs="Helvetica Neue"/>
          <w:color w:val="262626"/>
        </w:rPr>
        <w:t xml:space="preserve">‘Predictive Coding’, </w:t>
      </w:r>
      <w:r w:rsidRPr="008343E1">
        <w:rPr>
          <w:rFonts w:ascii="Calibri" w:hAnsi="Calibri" w:cs="Helvetica Neue"/>
          <w:i/>
          <w:color w:val="262626"/>
        </w:rPr>
        <w:t>Wiley Interdisciplinary Reviews: Cognitive Science</w:t>
      </w:r>
      <w:r w:rsidR="0070627E" w:rsidRPr="008343E1">
        <w:rPr>
          <w:rFonts w:ascii="Calibri" w:hAnsi="Calibri" w:cs="Helvetica Neue"/>
          <w:color w:val="262626"/>
        </w:rPr>
        <w:t>, Volume 2, Issue 5, pages 580-</w:t>
      </w:r>
      <w:r w:rsidRPr="008343E1">
        <w:rPr>
          <w:rFonts w:ascii="Calibri" w:hAnsi="Calibri" w:cs="Helvetica Neue"/>
          <w:color w:val="262626"/>
        </w:rPr>
        <w:t xml:space="preserve">93, September/October </w:t>
      </w:r>
      <w:r w:rsidR="002176F4" w:rsidRPr="008343E1">
        <w:rPr>
          <w:rFonts w:ascii="Calibri" w:hAnsi="Calibri" w:cs="Helvetica Neue"/>
          <w:color w:val="262626"/>
        </w:rPr>
        <w:t>(</w:t>
      </w:r>
      <w:r w:rsidRPr="008343E1">
        <w:rPr>
          <w:rFonts w:ascii="Calibri" w:hAnsi="Calibri" w:cs="Helvetica Neue"/>
          <w:color w:val="262626"/>
        </w:rPr>
        <w:t>2011</w:t>
      </w:r>
      <w:r w:rsidR="002176F4" w:rsidRPr="008343E1">
        <w:rPr>
          <w:rFonts w:ascii="Calibri" w:hAnsi="Calibri" w:cs="Helvetica Neue"/>
          <w:color w:val="262626"/>
        </w:rPr>
        <w:t>)</w:t>
      </w:r>
      <w:r w:rsidRPr="008343E1">
        <w:rPr>
          <w:rFonts w:ascii="Calibri" w:hAnsi="Calibri" w:cs="Helvetica Neue"/>
          <w:color w:val="262626"/>
        </w:rPr>
        <w:t>.</w:t>
      </w:r>
    </w:p>
    <w:p w:rsidR="000708F8" w:rsidRPr="008343E1" w:rsidRDefault="000708F8" w:rsidP="000708F8">
      <w:pPr>
        <w:pStyle w:val="ListParagraph"/>
        <w:widowControl w:val="0"/>
        <w:numPr>
          <w:ilvl w:val="0"/>
          <w:numId w:val="35"/>
        </w:numPr>
        <w:autoSpaceDE w:val="0"/>
        <w:autoSpaceDN w:val="0"/>
        <w:adjustRightInd w:val="0"/>
        <w:rPr>
          <w:rFonts w:ascii="Calibri" w:hAnsi="Calibri" w:cs="Helvetica Neue"/>
          <w:color w:val="262626"/>
        </w:rPr>
      </w:pPr>
      <w:r w:rsidRPr="008343E1">
        <w:rPr>
          <w:rFonts w:ascii="Calibri" w:hAnsi="Calibri" w:cs="Helvetica Neue"/>
          <w:color w:val="262626"/>
        </w:rPr>
        <w:t xml:space="preserve">K. STENNING </w:t>
      </w:r>
      <w:r w:rsidR="00FF0FD3" w:rsidRPr="008343E1">
        <w:rPr>
          <w:rFonts w:ascii="Calibri" w:hAnsi="Calibri" w:cs="Helvetica Neue"/>
          <w:color w:val="262626"/>
        </w:rPr>
        <w:t>&amp;</w:t>
      </w:r>
      <w:r w:rsidRPr="008343E1">
        <w:rPr>
          <w:rFonts w:ascii="Calibri" w:hAnsi="Calibri" w:cs="Helvetica Neue"/>
          <w:color w:val="262626"/>
        </w:rPr>
        <w:t xml:space="preserve"> M. VAN LAMBALGEN. (2004)</w:t>
      </w:r>
      <w:r w:rsidR="00FF0FD3" w:rsidRPr="008343E1">
        <w:rPr>
          <w:rFonts w:ascii="Calibri" w:hAnsi="Calibri" w:cs="Helvetica Neue"/>
          <w:color w:val="262626"/>
        </w:rPr>
        <w:t>,</w:t>
      </w:r>
      <w:r w:rsidRPr="008343E1">
        <w:rPr>
          <w:rFonts w:ascii="Calibri" w:hAnsi="Calibri" w:cs="Helvetica Neue"/>
          <w:color w:val="262626"/>
        </w:rPr>
        <w:t xml:space="preserve"> </w:t>
      </w:r>
      <w:r w:rsidR="00FF0FD3" w:rsidRPr="008343E1">
        <w:rPr>
          <w:rFonts w:ascii="Calibri" w:hAnsi="Calibri" w:cs="Helvetica Neue"/>
          <w:color w:val="262626"/>
        </w:rPr>
        <w:t>‘</w:t>
      </w:r>
      <w:r w:rsidRPr="008343E1">
        <w:rPr>
          <w:rFonts w:ascii="Calibri" w:hAnsi="Calibri" w:cs="Helvetica Neue"/>
          <w:color w:val="262626"/>
        </w:rPr>
        <w:t xml:space="preserve">A </w:t>
      </w:r>
      <w:r w:rsidR="0070356B" w:rsidRPr="008343E1">
        <w:rPr>
          <w:rFonts w:ascii="Calibri" w:hAnsi="Calibri" w:cs="Helvetica Neue"/>
          <w:color w:val="262626"/>
        </w:rPr>
        <w:t xml:space="preserve">Little Logic Goes </w:t>
      </w:r>
      <w:r w:rsidRPr="008343E1">
        <w:rPr>
          <w:rFonts w:ascii="Calibri" w:hAnsi="Calibri" w:cs="Helvetica Neue"/>
          <w:color w:val="262626"/>
        </w:rPr>
        <w:t xml:space="preserve">a </w:t>
      </w:r>
      <w:r w:rsidR="0070356B" w:rsidRPr="008343E1">
        <w:rPr>
          <w:rFonts w:ascii="Calibri" w:hAnsi="Calibri" w:cs="Helvetica Neue"/>
          <w:color w:val="262626"/>
        </w:rPr>
        <w:t>Long Way</w:t>
      </w:r>
      <w:r w:rsidRPr="008343E1">
        <w:rPr>
          <w:rFonts w:ascii="Calibri" w:hAnsi="Calibri" w:cs="Helvetica Neue"/>
          <w:color w:val="262626"/>
        </w:rPr>
        <w:t xml:space="preserve">: Basing </w:t>
      </w:r>
      <w:r w:rsidR="0070356B" w:rsidRPr="008343E1">
        <w:rPr>
          <w:rFonts w:ascii="Calibri" w:hAnsi="Calibri" w:cs="Helvetica Neue"/>
          <w:color w:val="262626"/>
        </w:rPr>
        <w:t xml:space="preserve">Experiment </w:t>
      </w:r>
      <w:r w:rsidRPr="008343E1">
        <w:rPr>
          <w:rFonts w:ascii="Calibri" w:hAnsi="Calibri" w:cs="Helvetica Neue"/>
          <w:color w:val="262626"/>
        </w:rPr>
        <w:t xml:space="preserve">on </w:t>
      </w:r>
      <w:r w:rsidR="0070356B" w:rsidRPr="008343E1">
        <w:rPr>
          <w:rFonts w:ascii="Calibri" w:hAnsi="Calibri" w:cs="Helvetica Neue"/>
          <w:color w:val="262626"/>
        </w:rPr>
        <w:t>Semantic Theory</w:t>
      </w:r>
      <w:r w:rsidRPr="008343E1">
        <w:rPr>
          <w:rFonts w:ascii="Calibri" w:hAnsi="Calibri" w:cs="Helvetica Neue"/>
          <w:color w:val="262626"/>
        </w:rPr>
        <w:t xml:space="preserve"> in the </w:t>
      </w:r>
      <w:r w:rsidR="0070356B" w:rsidRPr="008343E1">
        <w:rPr>
          <w:rFonts w:ascii="Calibri" w:hAnsi="Calibri" w:cs="Helvetica Neue"/>
          <w:color w:val="262626"/>
        </w:rPr>
        <w:t xml:space="preserve">Cognitive Science </w:t>
      </w:r>
      <w:r w:rsidRPr="008343E1">
        <w:rPr>
          <w:rFonts w:ascii="Calibri" w:hAnsi="Calibri" w:cs="Helvetica Neue"/>
          <w:color w:val="262626"/>
        </w:rPr>
        <w:t xml:space="preserve">of </w:t>
      </w:r>
      <w:r w:rsidR="0070356B" w:rsidRPr="008343E1">
        <w:rPr>
          <w:rFonts w:ascii="Calibri" w:hAnsi="Calibri" w:cs="Helvetica Neue"/>
          <w:color w:val="262626"/>
        </w:rPr>
        <w:t>Conditional Reasoning’</w:t>
      </w:r>
      <w:r w:rsidR="00FF0FD3" w:rsidRPr="008343E1">
        <w:rPr>
          <w:rFonts w:ascii="Calibri" w:hAnsi="Calibri" w:cs="Helvetica Neue"/>
          <w:color w:val="262626"/>
        </w:rPr>
        <w:t>,</w:t>
      </w:r>
      <w:r w:rsidRPr="008343E1">
        <w:rPr>
          <w:rFonts w:ascii="Calibri" w:hAnsi="Calibri" w:cs="Helvetica Neue"/>
          <w:color w:val="262626"/>
        </w:rPr>
        <w:t xml:space="preserve"> </w:t>
      </w:r>
      <w:r w:rsidRPr="008343E1">
        <w:rPr>
          <w:rFonts w:ascii="Calibri" w:hAnsi="Calibri" w:cs="Helvetica Neue"/>
          <w:i/>
          <w:color w:val="262626"/>
        </w:rPr>
        <w:t>Cognitive Science</w:t>
      </w:r>
      <w:r w:rsidR="00FF0FD3" w:rsidRPr="008343E1">
        <w:rPr>
          <w:rFonts w:ascii="Calibri" w:hAnsi="Calibri" w:cs="Helvetica Neue"/>
          <w:color w:val="262626"/>
        </w:rPr>
        <w:t xml:space="preserve">, 28(4), pp. </w:t>
      </w:r>
      <w:r w:rsidRPr="008343E1">
        <w:rPr>
          <w:rFonts w:ascii="Calibri" w:hAnsi="Calibri" w:cs="Helvetica Neue"/>
          <w:color w:val="262626"/>
        </w:rPr>
        <w:t>481</w:t>
      </w:r>
      <w:r w:rsidR="00FF0FD3" w:rsidRPr="008343E1">
        <w:rPr>
          <w:rFonts w:ascii="Calibri" w:hAnsi="Calibri" w:cs="Helvetica Neue"/>
          <w:color w:val="262626"/>
        </w:rPr>
        <w:t>-</w:t>
      </w:r>
      <w:r w:rsidRPr="008343E1">
        <w:rPr>
          <w:rFonts w:ascii="Calibri" w:hAnsi="Calibri" w:cs="Helvetica Neue"/>
          <w:color w:val="262626"/>
        </w:rPr>
        <w:t>530.</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KAHNEMAN D., &amp;</w:t>
      </w:r>
      <w:r w:rsidR="00FF0FD3" w:rsidRPr="008343E1">
        <w:rPr>
          <w:rFonts w:eastAsia="MS Mincho"/>
          <w:sz w:val="24"/>
          <w:szCs w:val="24"/>
          <w:lang w:val="en-US" w:eastAsia="ja-JP"/>
        </w:rPr>
        <w:t xml:space="preserve"> FREDERICK, S. (2002),</w:t>
      </w:r>
      <w:r w:rsidRPr="008343E1">
        <w:rPr>
          <w:rFonts w:eastAsia="MS Mincho"/>
          <w:sz w:val="24"/>
          <w:szCs w:val="24"/>
          <w:lang w:val="en-US" w:eastAsia="ja-JP"/>
        </w:rPr>
        <w:t xml:space="preserve"> ‘Representativeness </w:t>
      </w:r>
      <w:r w:rsidR="0070356B" w:rsidRPr="008343E1">
        <w:rPr>
          <w:rFonts w:eastAsia="MS Mincho"/>
          <w:sz w:val="24"/>
          <w:szCs w:val="24"/>
          <w:lang w:val="en-US" w:eastAsia="ja-JP"/>
        </w:rPr>
        <w:t>Revisited</w:t>
      </w:r>
      <w:r w:rsidRPr="008343E1">
        <w:rPr>
          <w:rFonts w:eastAsia="MS Mincho"/>
          <w:sz w:val="24"/>
          <w:szCs w:val="24"/>
          <w:lang w:val="en-US" w:eastAsia="ja-JP"/>
        </w:rPr>
        <w:t xml:space="preserve">: Attribute </w:t>
      </w:r>
      <w:r w:rsidR="0070356B" w:rsidRPr="008343E1">
        <w:rPr>
          <w:rFonts w:eastAsia="MS Mincho"/>
          <w:sz w:val="24"/>
          <w:szCs w:val="24"/>
          <w:lang w:val="en-US" w:eastAsia="ja-JP"/>
        </w:rPr>
        <w:t xml:space="preserve">Substitution </w:t>
      </w:r>
      <w:r w:rsidRPr="008343E1">
        <w:rPr>
          <w:rFonts w:eastAsia="MS Mincho"/>
          <w:sz w:val="24"/>
          <w:szCs w:val="24"/>
          <w:lang w:val="en-US" w:eastAsia="ja-JP"/>
        </w:rPr>
        <w:t xml:space="preserve">in </w:t>
      </w:r>
      <w:r w:rsidR="0070356B" w:rsidRPr="008343E1">
        <w:rPr>
          <w:rFonts w:eastAsia="MS Mincho"/>
          <w:sz w:val="24"/>
          <w:szCs w:val="24"/>
          <w:lang w:val="en-US" w:eastAsia="ja-JP"/>
        </w:rPr>
        <w:t>Intuitive Judgement’</w:t>
      </w:r>
      <w:r w:rsidR="00FF0FD3" w:rsidRPr="008343E1">
        <w:rPr>
          <w:rFonts w:eastAsia="MS Mincho"/>
          <w:sz w:val="24"/>
          <w:szCs w:val="24"/>
          <w:lang w:val="en-US" w:eastAsia="ja-JP"/>
        </w:rPr>
        <w:t>, i</w:t>
      </w:r>
      <w:r w:rsidRPr="008343E1">
        <w:rPr>
          <w:rFonts w:eastAsia="MS Mincho"/>
          <w:sz w:val="24"/>
          <w:szCs w:val="24"/>
          <w:lang w:val="en-US" w:eastAsia="ja-JP"/>
        </w:rPr>
        <w:t>n</w:t>
      </w:r>
      <w:r w:rsidR="00FF0FD3" w:rsidRPr="008343E1">
        <w:rPr>
          <w:rFonts w:eastAsia="MS Mincho"/>
          <w:sz w:val="24"/>
          <w:szCs w:val="24"/>
          <w:lang w:val="en-US" w:eastAsia="ja-JP"/>
        </w:rPr>
        <w:t xml:space="preserve"> </w:t>
      </w:r>
      <w:r w:rsidRPr="008343E1">
        <w:rPr>
          <w:rFonts w:eastAsia="MS Mincho"/>
          <w:sz w:val="24"/>
          <w:szCs w:val="24"/>
          <w:lang w:val="en-US" w:eastAsia="ja-JP"/>
        </w:rPr>
        <w:t xml:space="preserve">Gilovich, </w:t>
      </w:r>
      <w:r w:rsidR="00FF0FD3" w:rsidRPr="008343E1">
        <w:rPr>
          <w:rFonts w:eastAsia="MS Mincho"/>
          <w:sz w:val="24"/>
          <w:szCs w:val="24"/>
          <w:lang w:val="en-US" w:eastAsia="ja-JP"/>
        </w:rPr>
        <w:t xml:space="preserve">T., </w:t>
      </w:r>
      <w:r w:rsidRPr="008343E1">
        <w:rPr>
          <w:rFonts w:eastAsia="MS Mincho"/>
          <w:sz w:val="24"/>
          <w:szCs w:val="24"/>
          <w:lang w:val="en-US" w:eastAsia="ja-JP"/>
        </w:rPr>
        <w:t>Griffin, D.</w:t>
      </w:r>
      <w:r w:rsidR="00FF0FD3" w:rsidRPr="008343E1">
        <w:rPr>
          <w:rFonts w:eastAsia="MS Mincho"/>
          <w:sz w:val="24"/>
          <w:szCs w:val="24"/>
          <w:lang w:val="en-US" w:eastAsia="ja-JP"/>
        </w:rPr>
        <w:t xml:space="preserve"> and</w:t>
      </w:r>
      <w:r w:rsidRPr="008343E1">
        <w:rPr>
          <w:rFonts w:eastAsia="MS Mincho"/>
          <w:sz w:val="24"/>
          <w:szCs w:val="24"/>
          <w:lang w:val="en-US" w:eastAsia="ja-JP"/>
        </w:rPr>
        <w:t xml:space="preserve"> Kahneman, </w:t>
      </w:r>
      <w:r w:rsidR="00FF0FD3" w:rsidRPr="008343E1">
        <w:rPr>
          <w:rFonts w:eastAsia="MS Mincho"/>
          <w:sz w:val="24"/>
          <w:szCs w:val="24"/>
          <w:lang w:val="en-US" w:eastAsia="ja-JP"/>
        </w:rPr>
        <w:t>D. (e</w:t>
      </w:r>
      <w:r w:rsidRPr="008343E1">
        <w:rPr>
          <w:rFonts w:eastAsia="MS Mincho"/>
          <w:sz w:val="24"/>
          <w:szCs w:val="24"/>
          <w:lang w:val="en-US" w:eastAsia="ja-JP"/>
        </w:rPr>
        <w:t>ds.)</w:t>
      </w:r>
      <w:r w:rsidR="004642FD" w:rsidRPr="008343E1">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Heuristics and Biases: T</w:t>
      </w:r>
      <w:r w:rsidR="0019317D" w:rsidRPr="008343E1">
        <w:rPr>
          <w:rFonts w:eastAsia="MS Mincho"/>
          <w:i/>
          <w:sz w:val="24"/>
          <w:szCs w:val="24"/>
          <w:lang w:val="en-US" w:eastAsia="ja-JP"/>
        </w:rPr>
        <w:t>he Psychology of Intuitive Judg</w:t>
      </w:r>
      <w:r w:rsidRPr="008343E1">
        <w:rPr>
          <w:rFonts w:eastAsia="MS Mincho"/>
          <w:i/>
          <w:sz w:val="24"/>
          <w:szCs w:val="24"/>
          <w:lang w:val="en-US" w:eastAsia="ja-JP"/>
        </w:rPr>
        <w:t>ment</w:t>
      </w:r>
      <w:r w:rsidR="00FF0FD3" w:rsidRPr="008343E1">
        <w:rPr>
          <w:rFonts w:eastAsia="MS Mincho"/>
          <w:sz w:val="24"/>
          <w:szCs w:val="24"/>
          <w:lang w:val="en-US" w:eastAsia="ja-JP"/>
        </w:rPr>
        <w:t>, New York,</w:t>
      </w:r>
      <w:r w:rsidRPr="008343E1">
        <w:rPr>
          <w:rFonts w:eastAsia="MS Mincho"/>
          <w:sz w:val="24"/>
          <w:szCs w:val="24"/>
          <w:lang w:val="en-US" w:eastAsia="ja-JP"/>
        </w:rPr>
        <w:t xml:space="preserve"> Cam</w:t>
      </w:r>
      <w:r w:rsidR="0019317D" w:rsidRPr="008343E1">
        <w:rPr>
          <w:rFonts w:eastAsia="MS Mincho"/>
          <w:sz w:val="24"/>
          <w:szCs w:val="24"/>
          <w:lang w:val="en-US" w:eastAsia="ja-JP"/>
        </w:rPr>
        <w:t>bridge University Press, pp. 49-</w:t>
      </w:r>
      <w:r w:rsidRPr="008343E1">
        <w:rPr>
          <w:rFonts w:eastAsia="MS Mincho"/>
          <w:sz w:val="24"/>
          <w:szCs w:val="24"/>
          <w:lang w:val="en-US" w:eastAsia="ja-JP"/>
        </w:rPr>
        <w:t>81.</w:t>
      </w:r>
    </w:p>
    <w:p w:rsidR="000708F8" w:rsidRPr="008343E1" w:rsidRDefault="0019317D"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KAHNEMAN, D. (2011),</w:t>
      </w:r>
      <w:r w:rsidR="000708F8" w:rsidRPr="008343E1">
        <w:rPr>
          <w:rFonts w:eastAsia="MS Mincho"/>
          <w:sz w:val="24"/>
          <w:szCs w:val="24"/>
          <w:lang w:val="en-US" w:eastAsia="ja-JP"/>
        </w:rPr>
        <w:t xml:space="preserve"> </w:t>
      </w:r>
      <w:r w:rsidR="00854192" w:rsidRPr="008343E1">
        <w:rPr>
          <w:rFonts w:eastAsia="MS Mincho"/>
          <w:i/>
          <w:sz w:val="24"/>
          <w:szCs w:val="24"/>
          <w:lang w:val="en-US" w:eastAsia="ja-JP"/>
        </w:rPr>
        <w:t>Thinking, Fast and S</w:t>
      </w:r>
      <w:r w:rsidR="000708F8" w:rsidRPr="008343E1">
        <w:rPr>
          <w:rFonts w:eastAsia="MS Mincho"/>
          <w:i/>
          <w:sz w:val="24"/>
          <w:szCs w:val="24"/>
          <w:lang w:val="en-US" w:eastAsia="ja-JP"/>
        </w:rPr>
        <w:t>low</w:t>
      </w:r>
      <w:r w:rsidRPr="008343E1">
        <w:rPr>
          <w:rFonts w:eastAsia="MS Mincho"/>
          <w:sz w:val="24"/>
          <w:szCs w:val="24"/>
          <w:lang w:val="en-US" w:eastAsia="ja-JP"/>
        </w:rPr>
        <w:t xml:space="preserve">. New York, </w:t>
      </w:r>
      <w:r w:rsidR="000708F8" w:rsidRPr="008343E1">
        <w:rPr>
          <w:rFonts w:eastAsia="MS Mincho"/>
          <w:sz w:val="24"/>
          <w:szCs w:val="24"/>
          <w:lang w:val="en-US" w:eastAsia="ja-JP"/>
        </w:rPr>
        <w:t>Farrar, Straus and Giroux.</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KAHN</w:t>
      </w:r>
      <w:r w:rsidR="004642FD" w:rsidRPr="008343E1">
        <w:rPr>
          <w:sz w:val="24"/>
          <w:szCs w:val="24"/>
        </w:rPr>
        <w:t>EMAN, D. &amp; FREDERICK, S. (2005),</w:t>
      </w:r>
      <w:r w:rsidRPr="008343E1">
        <w:rPr>
          <w:sz w:val="24"/>
          <w:szCs w:val="24"/>
        </w:rPr>
        <w:t xml:space="preserve"> ‘A model of heuristic </w:t>
      </w:r>
      <w:r w:rsidR="004642FD" w:rsidRPr="008343E1">
        <w:rPr>
          <w:sz w:val="24"/>
          <w:szCs w:val="24"/>
        </w:rPr>
        <w:t>judgment’, i</w:t>
      </w:r>
      <w:r w:rsidRPr="008343E1">
        <w:rPr>
          <w:sz w:val="24"/>
          <w:szCs w:val="24"/>
        </w:rPr>
        <w:t xml:space="preserve">n Holyoak, K. J. </w:t>
      </w:r>
      <w:r w:rsidR="004642FD" w:rsidRPr="008343E1">
        <w:rPr>
          <w:sz w:val="24"/>
          <w:szCs w:val="24"/>
        </w:rPr>
        <w:t xml:space="preserve">and </w:t>
      </w:r>
      <w:r w:rsidRPr="008343E1">
        <w:rPr>
          <w:sz w:val="24"/>
          <w:szCs w:val="24"/>
        </w:rPr>
        <w:t xml:space="preserve">Morrison, </w:t>
      </w:r>
      <w:r w:rsidR="004642FD" w:rsidRPr="008343E1">
        <w:rPr>
          <w:sz w:val="24"/>
          <w:szCs w:val="24"/>
        </w:rPr>
        <w:t>R.G. (eds.),</w:t>
      </w:r>
      <w:r w:rsidRPr="008343E1">
        <w:rPr>
          <w:sz w:val="24"/>
          <w:szCs w:val="24"/>
        </w:rPr>
        <w:t xml:space="preserve"> </w:t>
      </w:r>
      <w:r w:rsidRPr="008343E1">
        <w:rPr>
          <w:i/>
          <w:sz w:val="24"/>
          <w:szCs w:val="24"/>
        </w:rPr>
        <w:t>The Cambridge Handbook of Thinking and Reasoning</w:t>
      </w:r>
      <w:r w:rsidR="004642FD" w:rsidRPr="008343E1">
        <w:rPr>
          <w:sz w:val="24"/>
          <w:szCs w:val="24"/>
        </w:rPr>
        <w:t>. New York,</w:t>
      </w:r>
      <w:r w:rsidRPr="008343E1">
        <w:rPr>
          <w:sz w:val="24"/>
          <w:szCs w:val="24"/>
        </w:rPr>
        <w:t xml:space="preserve"> Camb</w:t>
      </w:r>
      <w:r w:rsidR="00516620" w:rsidRPr="008343E1">
        <w:rPr>
          <w:sz w:val="24"/>
          <w:szCs w:val="24"/>
        </w:rPr>
        <w:t>ridge University Press, pp.267-</w:t>
      </w:r>
      <w:r w:rsidRPr="008343E1">
        <w:rPr>
          <w:sz w:val="24"/>
          <w:szCs w:val="24"/>
        </w:rPr>
        <w:t>93.</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KAHNEMAN, D. &amp; T</w:t>
      </w:r>
      <w:r w:rsidR="00C81C0B" w:rsidRPr="008343E1">
        <w:rPr>
          <w:sz w:val="24"/>
          <w:szCs w:val="24"/>
        </w:rPr>
        <w:t>VERSKY, A. (1982), ‘</w:t>
      </w:r>
      <w:r w:rsidRPr="008343E1">
        <w:rPr>
          <w:sz w:val="24"/>
          <w:szCs w:val="24"/>
        </w:rPr>
        <w:t xml:space="preserve">On the </w:t>
      </w:r>
      <w:r w:rsidR="0070356B" w:rsidRPr="008343E1">
        <w:rPr>
          <w:sz w:val="24"/>
          <w:szCs w:val="24"/>
        </w:rPr>
        <w:t xml:space="preserve">Study </w:t>
      </w:r>
      <w:r w:rsidRPr="008343E1">
        <w:rPr>
          <w:sz w:val="24"/>
          <w:szCs w:val="24"/>
        </w:rPr>
        <w:t xml:space="preserve">of </w:t>
      </w:r>
      <w:r w:rsidR="0070356B" w:rsidRPr="008343E1">
        <w:rPr>
          <w:sz w:val="24"/>
          <w:szCs w:val="24"/>
        </w:rPr>
        <w:t>Statistical Intuitions’</w:t>
      </w:r>
      <w:r w:rsidRPr="008343E1">
        <w:rPr>
          <w:sz w:val="24"/>
          <w:szCs w:val="24"/>
        </w:rPr>
        <w:t xml:space="preserve">, </w:t>
      </w:r>
      <w:r w:rsidRPr="008343E1">
        <w:rPr>
          <w:i/>
          <w:sz w:val="24"/>
          <w:szCs w:val="24"/>
        </w:rPr>
        <w:t>Cognition</w:t>
      </w:r>
      <w:r w:rsidR="00C81C0B" w:rsidRPr="008343E1">
        <w:rPr>
          <w:sz w:val="24"/>
          <w:szCs w:val="24"/>
        </w:rPr>
        <w:t>, 11,</w:t>
      </w:r>
      <w:r w:rsidRPr="008343E1">
        <w:rPr>
          <w:sz w:val="24"/>
          <w:szCs w:val="24"/>
        </w:rPr>
        <w:t>2, pp.123-41.</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KENNY, A. (1963)</w:t>
      </w:r>
      <w:r w:rsidR="00CE7BA7" w:rsidRPr="008343E1">
        <w:rPr>
          <w:sz w:val="24"/>
          <w:szCs w:val="24"/>
        </w:rPr>
        <w:t xml:space="preserve">, </w:t>
      </w:r>
      <w:r w:rsidRPr="008343E1">
        <w:rPr>
          <w:i/>
          <w:sz w:val="24"/>
          <w:szCs w:val="24"/>
        </w:rPr>
        <w:t>Action, Emotion and Will</w:t>
      </w:r>
      <w:r w:rsidR="00CE7BA7" w:rsidRPr="008343E1">
        <w:rPr>
          <w:sz w:val="24"/>
          <w:szCs w:val="24"/>
        </w:rPr>
        <w:t>, London, New York, Routledge and Kegan Paul,</w:t>
      </w:r>
      <w:r w:rsidRPr="008343E1">
        <w:rPr>
          <w:sz w:val="24"/>
          <w:szCs w:val="24"/>
        </w:rPr>
        <w:t xml:space="preserve"> Humanities Press.</w:t>
      </w:r>
    </w:p>
    <w:p w:rsidR="000708F8" w:rsidRPr="008343E1" w:rsidRDefault="005B69C1" w:rsidP="000708F8">
      <w:pPr>
        <w:pStyle w:val="Kleurrijkelijst-accent11"/>
        <w:widowControl w:val="0"/>
        <w:numPr>
          <w:ilvl w:val="0"/>
          <w:numId w:val="35"/>
        </w:numPr>
        <w:autoSpaceDE w:val="0"/>
        <w:autoSpaceDN w:val="0"/>
        <w:adjustRightInd w:val="0"/>
        <w:spacing w:after="0" w:line="240" w:lineRule="auto"/>
        <w:rPr>
          <w:rFonts w:eastAsia="MS Mincho"/>
          <w:color w:val="231F20"/>
          <w:sz w:val="24"/>
          <w:szCs w:val="24"/>
          <w:lang w:val="en-US" w:eastAsia="ja-JP"/>
        </w:rPr>
      </w:pPr>
      <w:r w:rsidRPr="008343E1">
        <w:rPr>
          <w:rFonts w:eastAsia="MS Mincho"/>
          <w:color w:val="231F20"/>
          <w:sz w:val="24"/>
          <w:szCs w:val="24"/>
          <w:lang w:val="en-US" w:eastAsia="ja-JP"/>
        </w:rPr>
        <w:t>KEREN, G. &amp; SCHUL, Y. (2007),</w:t>
      </w:r>
      <w:r w:rsidR="000708F8" w:rsidRPr="008343E1">
        <w:rPr>
          <w:rFonts w:eastAsia="MS Mincho"/>
          <w:color w:val="231F20"/>
          <w:sz w:val="24"/>
          <w:szCs w:val="24"/>
          <w:lang w:val="en-US" w:eastAsia="ja-JP"/>
        </w:rPr>
        <w:t xml:space="preserve"> </w:t>
      </w:r>
      <w:r w:rsidRPr="008343E1">
        <w:rPr>
          <w:rFonts w:eastAsia="MS Mincho"/>
          <w:color w:val="231F20"/>
          <w:sz w:val="24"/>
          <w:szCs w:val="24"/>
          <w:lang w:val="en-US" w:eastAsia="ja-JP"/>
        </w:rPr>
        <w:t>‘</w:t>
      </w:r>
      <w:r w:rsidR="000708F8" w:rsidRPr="008343E1">
        <w:rPr>
          <w:rFonts w:eastAsia="MS Mincho"/>
          <w:color w:val="231F20"/>
          <w:sz w:val="24"/>
          <w:szCs w:val="24"/>
          <w:lang w:val="en-US" w:eastAsia="ja-JP"/>
        </w:rPr>
        <w:t xml:space="preserve">Two is not </w:t>
      </w:r>
      <w:r w:rsidR="0070356B" w:rsidRPr="008343E1">
        <w:rPr>
          <w:rFonts w:eastAsia="MS Mincho"/>
          <w:color w:val="231F20"/>
          <w:sz w:val="24"/>
          <w:szCs w:val="24"/>
          <w:lang w:val="en-US" w:eastAsia="ja-JP"/>
        </w:rPr>
        <w:t xml:space="preserve">Always Better </w:t>
      </w:r>
      <w:r w:rsidR="000708F8" w:rsidRPr="008343E1">
        <w:rPr>
          <w:rFonts w:eastAsia="MS Mincho"/>
          <w:color w:val="231F20"/>
          <w:sz w:val="24"/>
          <w:szCs w:val="24"/>
          <w:lang w:val="en-US" w:eastAsia="ja-JP"/>
        </w:rPr>
        <w:t xml:space="preserve">than </w:t>
      </w:r>
      <w:r w:rsidR="0070356B" w:rsidRPr="008343E1">
        <w:rPr>
          <w:rFonts w:eastAsia="MS Mincho"/>
          <w:color w:val="231F20"/>
          <w:sz w:val="24"/>
          <w:szCs w:val="24"/>
          <w:lang w:val="en-US" w:eastAsia="ja-JP"/>
        </w:rPr>
        <w:t>One’</w:t>
      </w:r>
      <w:r w:rsidRPr="008343E1">
        <w:rPr>
          <w:rFonts w:eastAsia="MS Mincho"/>
          <w:color w:val="231F20"/>
          <w:sz w:val="24"/>
          <w:szCs w:val="24"/>
          <w:lang w:val="en-US" w:eastAsia="ja-JP"/>
        </w:rPr>
        <w:t>,</w:t>
      </w:r>
      <w:r w:rsidR="000708F8" w:rsidRPr="008343E1">
        <w:rPr>
          <w:rFonts w:eastAsia="MS Mincho"/>
          <w:color w:val="231F20"/>
          <w:sz w:val="24"/>
          <w:szCs w:val="24"/>
          <w:lang w:val="en-US" w:eastAsia="ja-JP"/>
        </w:rPr>
        <w:t xml:space="preserve"> A </w:t>
      </w:r>
      <w:r w:rsidR="0070356B" w:rsidRPr="008343E1">
        <w:rPr>
          <w:rFonts w:eastAsia="MS Mincho"/>
          <w:color w:val="231F20"/>
          <w:sz w:val="24"/>
          <w:szCs w:val="24"/>
          <w:lang w:val="en-US" w:eastAsia="ja-JP"/>
        </w:rPr>
        <w:t xml:space="preserve">Critical Evaluation </w:t>
      </w:r>
      <w:r w:rsidR="000708F8" w:rsidRPr="008343E1">
        <w:rPr>
          <w:rFonts w:eastAsia="MS Mincho"/>
          <w:color w:val="231F20"/>
          <w:sz w:val="24"/>
          <w:szCs w:val="24"/>
          <w:lang w:val="en-US" w:eastAsia="ja-JP"/>
        </w:rPr>
        <w:t xml:space="preserve">of </w:t>
      </w:r>
      <w:r w:rsidR="0070356B" w:rsidRPr="008343E1">
        <w:rPr>
          <w:rFonts w:eastAsia="MS Mincho"/>
          <w:color w:val="231F20"/>
          <w:sz w:val="24"/>
          <w:szCs w:val="24"/>
          <w:lang w:val="en-US" w:eastAsia="ja-JP"/>
        </w:rPr>
        <w:t>Two-Systems Theories</w:t>
      </w:r>
      <w:r w:rsidRPr="008343E1">
        <w:rPr>
          <w:rFonts w:eastAsia="MS Mincho"/>
          <w:color w:val="231F20"/>
          <w:sz w:val="24"/>
          <w:szCs w:val="24"/>
          <w:lang w:val="en-US" w:eastAsia="ja-JP"/>
        </w:rPr>
        <w:t xml:space="preserve">. Commentary </w:t>
      </w:r>
      <w:r w:rsidR="000708F8" w:rsidRPr="008343E1">
        <w:rPr>
          <w:rFonts w:eastAsia="MS Mincho"/>
          <w:color w:val="231F20"/>
          <w:sz w:val="24"/>
          <w:szCs w:val="24"/>
          <w:lang w:val="en-US" w:eastAsia="ja-JP"/>
        </w:rPr>
        <w:t xml:space="preserve">Barbey &amp; Sloman, </w:t>
      </w:r>
      <w:r w:rsidRPr="008343E1">
        <w:rPr>
          <w:rFonts w:eastAsia="MS Mincho"/>
          <w:color w:val="231F20"/>
          <w:sz w:val="24"/>
          <w:szCs w:val="24"/>
          <w:lang w:val="en-US" w:eastAsia="ja-JP"/>
        </w:rPr>
        <w:t>(</w:t>
      </w:r>
      <w:r w:rsidR="000708F8" w:rsidRPr="008343E1">
        <w:rPr>
          <w:rFonts w:eastAsia="MS Mincho"/>
          <w:color w:val="231F20"/>
          <w:sz w:val="24"/>
          <w:szCs w:val="24"/>
          <w:lang w:val="en-US" w:eastAsia="ja-JP"/>
        </w:rPr>
        <w:t>2007).</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de-AT" w:eastAsia="ja-JP"/>
        </w:rPr>
        <w:t>KLAUER</w:t>
      </w:r>
      <w:proofErr w:type="gramStart"/>
      <w:r w:rsidRPr="008343E1">
        <w:rPr>
          <w:rFonts w:eastAsia="MS Mincho"/>
          <w:sz w:val="24"/>
          <w:szCs w:val="24"/>
          <w:lang w:val="de-AT" w:eastAsia="ja-JP"/>
        </w:rPr>
        <w:t>, K.,</w:t>
      </w:r>
      <w:proofErr w:type="gramEnd"/>
      <w:r w:rsidR="00AB3783" w:rsidRPr="008343E1">
        <w:rPr>
          <w:rFonts w:eastAsia="MS Mincho"/>
          <w:sz w:val="24"/>
          <w:szCs w:val="24"/>
          <w:lang w:val="de-AT" w:eastAsia="ja-JP"/>
        </w:rPr>
        <w:t xml:space="preserve"> MUSCH, J., &amp; NAUMER, B. (2000),</w:t>
      </w:r>
      <w:r w:rsidRPr="008343E1">
        <w:rPr>
          <w:rFonts w:eastAsia="MS Mincho"/>
          <w:sz w:val="24"/>
          <w:szCs w:val="24"/>
          <w:lang w:val="de-AT" w:eastAsia="ja-JP"/>
        </w:rPr>
        <w:t xml:space="preserve"> </w:t>
      </w:r>
      <w:r w:rsidR="00AB3783" w:rsidRPr="008343E1">
        <w:rPr>
          <w:rFonts w:eastAsia="MS Mincho"/>
          <w:sz w:val="24"/>
          <w:szCs w:val="24"/>
          <w:lang w:val="en-US" w:eastAsia="ja-JP"/>
        </w:rPr>
        <w:t>‘O</w:t>
      </w:r>
      <w:r w:rsidRPr="008343E1">
        <w:rPr>
          <w:rFonts w:eastAsia="MS Mincho"/>
          <w:sz w:val="24"/>
          <w:szCs w:val="24"/>
          <w:lang w:val="en-US" w:eastAsia="ja-JP"/>
        </w:rPr>
        <w:t xml:space="preserve">n </w:t>
      </w:r>
      <w:r w:rsidR="0070356B" w:rsidRPr="008343E1">
        <w:rPr>
          <w:rFonts w:eastAsia="MS Mincho"/>
          <w:sz w:val="24"/>
          <w:szCs w:val="24"/>
          <w:lang w:val="en-US" w:eastAsia="ja-JP"/>
        </w:rPr>
        <w:t xml:space="preserve">Belief Bias </w:t>
      </w:r>
      <w:r w:rsidRPr="008343E1">
        <w:rPr>
          <w:rFonts w:eastAsia="MS Mincho"/>
          <w:sz w:val="24"/>
          <w:szCs w:val="24"/>
          <w:lang w:val="en-US" w:eastAsia="ja-JP"/>
        </w:rPr>
        <w:t xml:space="preserve">in </w:t>
      </w:r>
      <w:r w:rsidR="0070356B" w:rsidRPr="008343E1">
        <w:rPr>
          <w:rFonts w:eastAsia="MS Mincho"/>
          <w:sz w:val="24"/>
          <w:szCs w:val="24"/>
          <w:lang w:val="en-US" w:eastAsia="ja-JP"/>
        </w:rPr>
        <w:t>Syllogistic Reasoning’</w:t>
      </w:r>
      <w:r w:rsidRPr="008343E1">
        <w:rPr>
          <w:rFonts w:eastAsia="MS Mincho"/>
          <w:sz w:val="24"/>
          <w:szCs w:val="24"/>
          <w:lang w:val="en-US" w:eastAsia="ja-JP"/>
        </w:rPr>
        <w:t xml:space="preserve">. </w:t>
      </w:r>
      <w:r w:rsidRPr="008343E1">
        <w:rPr>
          <w:rFonts w:eastAsia="MS Mincho"/>
          <w:i/>
          <w:sz w:val="24"/>
          <w:szCs w:val="24"/>
          <w:lang w:val="en-US" w:eastAsia="ja-JP"/>
        </w:rPr>
        <w:t>Psychological Review</w:t>
      </w:r>
      <w:r w:rsidR="00AB3783" w:rsidRPr="008343E1">
        <w:rPr>
          <w:rFonts w:eastAsia="MS Mincho"/>
          <w:sz w:val="24"/>
          <w:szCs w:val="24"/>
          <w:lang w:val="en-US" w:eastAsia="ja-JP"/>
        </w:rPr>
        <w:t>, 107, pp. 852-</w:t>
      </w:r>
      <w:r w:rsidRPr="008343E1">
        <w:rPr>
          <w:rFonts w:eastAsia="MS Mincho"/>
          <w:sz w:val="24"/>
          <w:szCs w:val="24"/>
          <w:lang w:val="en-US" w:eastAsia="ja-JP"/>
        </w:rPr>
        <w:t>84.</w:t>
      </w:r>
    </w:p>
    <w:p w:rsidR="000708F8" w:rsidRPr="008343E1" w:rsidRDefault="000708F8" w:rsidP="000708F8">
      <w:pPr>
        <w:pStyle w:val="ListParagraph"/>
        <w:numPr>
          <w:ilvl w:val="0"/>
          <w:numId w:val="35"/>
        </w:numPr>
        <w:spacing w:before="60" w:after="60" w:line="276" w:lineRule="auto"/>
        <w:rPr>
          <w:rFonts w:ascii="Calibri" w:eastAsia="Cambria" w:hAnsi="Calibri"/>
        </w:rPr>
      </w:pPr>
      <w:r w:rsidRPr="008343E1">
        <w:rPr>
          <w:rFonts w:ascii="Calibri" w:hAnsi="Calibri"/>
        </w:rPr>
        <w:t xml:space="preserve">KOYANO, K., KUBA, K., </w:t>
      </w:r>
      <w:r w:rsidR="0042553A" w:rsidRPr="008343E1">
        <w:rPr>
          <w:rFonts w:ascii="Calibri" w:hAnsi="Calibri"/>
        </w:rPr>
        <w:t>&amp;</w:t>
      </w:r>
      <w:r w:rsidR="006A1097" w:rsidRPr="008343E1">
        <w:rPr>
          <w:rFonts w:ascii="Calibri" w:hAnsi="Calibri"/>
        </w:rPr>
        <w:t xml:space="preserve"> MINOTA, S. (1985),</w:t>
      </w:r>
      <w:r w:rsidRPr="008343E1">
        <w:rPr>
          <w:rFonts w:ascii="Calibri" w:hAnsi="Calibri"/>
        </w:rPr>
        <w:t xml:space="preserve"> </w:t>
      </w:r>
      <w:r w:rsidR="006A1097" w:rsidRPr="008343E1">
        <w:rPr>
          <w:rFonts w:ascii="Calibri" w:hAnsi="Calibri"/>
        </w:rPr>
        <w:t>‘</w:t>
      </w:r>
      <w:r w:rsidRPr="008343E1">
        <w:rPr>
          <w:rFonts w:ascii="Calibri" w:eastAsia="Cambria" w:hAnsi="Calibri"/>
        </w:rPr>
        <w:t>Long-Term Potentiation of Transmitter Release Induced by Repetitive Presynaptic Activities in Bull-Frog Sympathetic Ganglia</w:t>
      </w:r>
      <w:r w:rsidR="006A1097" w:rsidRPr="008343E1">
        <w:rPr>
          <w:rFonts w:ascii="Calibri" w:eastAsia="Cambria" w:hAnsi="Calibri"/>
        </w:rPr>
        <w:t>’,</w:t>
      </w:r>
      <w:r w:rsidRPr="008343E1">
        <w:rPr>
          <w:rFonts w:ascii="Calibri" w:eastAsia="Cambria" w:hAnsi="Calibri"/>
        </w:rPr>
        <w:t xml:space="preserve"> </w:t>
      </w:r>
      <w:r w:rsidRPr="008343E1">
        <w:rPr>
          <w:rFonts w:ascii="Calibri" w:eastAsia="Cambria" w:hAnsi="Calibri"/>
          <w:i/>
        </w:rPr>
        <w:t>Journal of Physiology</w:t>
      </w:r>
      <w:r w:rsidR="006A1097" w:rsidRPr="008343E1">
        <w:rPr>
          <w:rFonts w:ascii="Calibri" w:eastAsia="Cambria" w:hAnsi="Calibri"/>
        </w:rPr>
        <w:t>, 359, pp. 219-</w:t>
      </w:r>
      <w:r w:rsidRPr="008343E1">
        <w:rPr>
          <w:rFonts w:ascii="Calibri" w:eastAsia="Cambria" w:hAnsi="Calibri"/>
        </w:rPr>
        <w:t>33.</w:t>
      </w:r>
    </w:p>
    <w:p w:rsidR="000708F8" w:rsidRPr="008343E1" w:rsidRDefault="000708F8" w:rsidP="000708F8">
      <w:pPr>
        <w:pStyle w:val="ListParagraph"/>
        <w:numPr>
          <w:ilvl w:val="0"/>
          <w:numId w:val="35"/>
        </w:numPr>
        <w:rPr>
          <w:rFonts w:ascii="Calibri" w:eastAsia="Calibri" w:hAnsi="Calibri"/>
        </w:rPr>
      </w:pPr>
      <w:r w:rsidRPr="008343E1">
        <w:rPr>
          <w:rFonts w:ascii="Calibri" w:eastAsia="Calibri" w:hAnsi="Calibri"/>
          <w:lang w:val="de-AT"/>
        </w:rPr>
        <w:t>KRUGLANS</w:t>
      </w:r>
      <w:r w:rsidR="00D33C87" w:rsidRPr="008343E1">
        <w:rPr>
          <w:rFonts w:ascii="Calibri" w:eastAsia="Calibri" w:hAnsi="Calibri"/>
          <w:lang w:val="de-AT"/>
        </w:rPr>
        <w:t>KI A.W. &amp; GIGERENZER, G. (2011),</w:t>
      </w:r>
      <w:r w:rsidRPr="008343E1">
        <w:rPr>
          <w:rFonts w:ascii="Calibri" w:eastAsia="Calibri" w:hAnsi="Calibri"/>
          <w:lang w:val="de-AT"/>
        </w:rPr>
        <w:t xml:space="preserve"> </w:t>
      </w:r>
      <w:r w:rsidRPr="008343E1">
        <w:rPr>
          <w:rFonts w:ascii="Calibri" w:eastAsia="Calibri" w:hAnsi="Calibri"/>
        </w:rPr>
        <w:t>Intu</w:t>
      </w:r>
      <w:r w:rsidR="005E4490" w:rsidRPr="008343E1">
        <w:rPr>
          <w:rFonts w:ascii="Calibri" w:eastAsia="Calibri" w:hAnsi="Calibri"/>
        </w:rPr>
        <w:t>itive and Deliberate Judgments a</w:t>
      </w:r>
      <w:r w:rsidRPr="008343E1">
        <w:rPr>
          <w:rFonts w:ascii="Calibri" w:eastAsia="Calibri" w:hAnsi="Calibri"/>
        </w:rPr>
        <w:t>re Based on Com</w:t>
      </w:r>
      <w:r w:rsidR="00D33C87" w:rsidRPr="008343E1">
        <w:rPr>
          <w:rFonts w:ascii="Calibri" w:eastAsia="Calibri" w:hAnsi="Calibri"/>
        </w:rPr>
        <w:t>mon Principles,</w:t>
      </w:r>
      <w:r w:rsidRPr="008343E1">
        <w:rPr>
          <w:rFonts w:ascii="Calibri" w:eastAsia="Calibri" w:hAnsi="Calibri"/>
        </w:rPr>
        <w:t xml:space="preserve"> </w:t>
      </w:r>
      <w:r w:rsidRPr="008343E1">
        <w:rPr>
          <w:rFonts w:ascii="Calibri" w:eastAsia="Calibri" w:hAnsi="Calibri"/>
          <w:i/>
        </w:rPr>
        <w:t>Psychological Review</w:t>
      </w:r>
      <w:r w:rsidR="00D33C87" w:rsidRPr="008343E1">
        <w:rPr>
          <w:rFonts w:ascii="Calibri" w:eastAsia="Calibri" w:hAnsi="Calibri"/>
        </w:rPr>
        <w:t>, 118, 1, pp. 97-</w:t>
      </w:r>
      <w:r w:rsidRPr="008343E1">
        <w:rPr>
          <w:rFonts w:ascii="Calibri" w:eastAsia="Calibri" w:hAnsi="Calibri"/>
        </w:rPr>
        <w:t>109.</w:t>
      </w:r>
    </w:p>
    <w:p w:rsidR="000708F8" w:rsidRPr="008343E1" w:rsidRDefault="000708F8" w:rsidP="000708F8">
      <w:pPr>
        <w:pStyle w:val="ListParagraph"/>
        <w:numPr>
          <w:ilvl w:val="0"/>
          <w:numId w:val="35"/>
        </w:numPr>
        <w:spacing w:before="60" w:after="60" w:line="276" w:lineRule="auto"/>
        <w:rPr>
          <w:rFonts w:ascii="Calibri" w:hAnsi="Calibri" w:cs="TimesNewRoman"/>
        </w:rPr>
      </w:pPr>
      <w:r w:rsidRPr="008343E1">
        <w:rPr>
          <w:rFonts w:ascii="Calibri" w:hAnsi="Calibri" w:cs="AdvPS6F00"/>
        </w:rPr>
        <w:t>LAROCHE, S., DOYERE, V., &amp; BLOCH, V. (1989)</w:t>
      </w:r>
      <w:r w:rsidR="005D5E12" w:rsidRPr="008343E1">
        <w:rPr>
          <w:rFonts w:ascii="Calibri" w:hAnsi="Calibri" w:cs="AdvPS6F00"/>
        </w:rPr>
        <w:t>, ‘</w:t>
      </w:r>
      <w:r w:rsidRPr="008343E1">
        <w:rPr>
          <w:rFonts w:ascii="Calibri" w:hAnsi="Calibri" w:cs="TimesNewRoman"/>
        </w:rPr>
        <w:t xml:space="preserve">Linear Relation Between the Magnitude of Long-Term Potentiation in the Dentate Gyrus and Associative Learning in the Rat. A Demonstration Using Commissural Inhibition and Local Infusion of an </w:t>
      </w:r>
      <w:r w:rsidR="005D5E12" w:rsidRPr="008343E1">
        <w:rPr>
          <w:rFonts w:ascii="Calibri" w:hAnsi="Calibri" w:cs="TimesNewRoman"/>
        </w:rPr>
        <w:t>N-Methyl-D-Aspartate Antagonist’,</w:t>
      </w:r>
      <w:r w:rsidRPr="008343E1">
        <w:rPr>
          <w:rFonts w:ascii="Calibri" w:hAnsi="Calibri" w:cs="TimesNewRoman"/>
        </w:rPr>
        <w:t xml:space="preserve"> </w:t>
      </w:r>
      <w:r w:rsidRPr="008343E1">
        <w:rPr>
          <w:rFonts w:ascii="Calibri" w:hAnsi="Calibri" w:cs="TimesNewRoman"/>
          <w:i/>
        </w:rPr>
        <w:t>Neuroscience</w:t>
      </w:r>
      <w:r w:rsidRPr="008343E1">
        <w:rPr>
          <w:rFonts w:ascii="Calibri" w:hAnsi="Calibri" w:cs="TimesNewRoman"/>
        </w:rPr>
        <w:t>,</w:t>
      </w:r>
      <w:r w:rsidRPr="008343E1">
        <w:rPr>
          <w:rFonts w:ascii="Calibri" w:hAnsi="Calibri" w:cs="TimesNewRoman"/>
          <w:i/>
        </w:rPr>
        <w:t xml:space="preserve"> </w:t>
      </w:r>
      <w:r w:rsidR="005D5E12" w:rsidRPr="008343E1">
        <w:rPr>
          <w:rFonts w:ascii="Calibri" w:hAnsi="Calibri" w:cs="TimesNewRoman"/>
        </w:rPr>
        <w:t>28, pp.</w:t>
      </w:r>
      <w:r w:rsidRPr="008343E1">
        <w:rPr>
          <w:rFonts w:ascii="Calibri" w:hAnsi="Calibri" w:cs="TimesNewRoman"/>
        </w:rPr>
        <w:t xml:space="preserve"> 375-86.</w:t>
      </w:r>
    </w:p>
    <w:p w:rsidR="000708F8" w:rsidRPr="008343E1" w:rsidRDefault="000708F8" w:rsidP="000708F8">
      <w:pPr>
        <w:pStyle w:val="ListParagraph"/>
        <w:numPr>
          <w:ilvl w:val="0"/>
          <w:numId w:val="35"/>
        </w:numPr>
        <w:spacing w:before="60" w:after="60" w:line="276" w:lineRule="auto"/>
        <w:rPr>
          <w:rFonts w:ascii="Calibri" w:hAnsi="Calibri" w:cs="AdvPS6F00"/>
        </w:rPr>
      </w:pPr>
      <w:r w:rsidRPr="008343E1">
        <w:rPr>
          <w:rFonts w:ascii="Calibri" w:hAnsi="Calibri"/>
        </w:rPr>
        <w:t>LARSON, J. R., &amp;</w:t>
      </w:r>
      <w:r w:rsidR="00A0532F" w:rsidRPr="008343E1">
        <w:rPr>
          <w:rFonts w:ascii="Calibri" w:hAnsi="Calibri"/>
        </w:rPr>
        <w:t xml:space="preserve"> LYNCH, G.</w:t>
      </w:r>
      <w:r w:rsidRPr="008343E1">
        <w:rPr>
          <w:rFonts w:ascii="Calibri" w:hAnsi="Calibri"/>
        </w:rPr>
        <w:t xml:space="preserve"> (1985), </w:t>
      </w:r>
      <w:r w:rsidR="00A0532F" w:rsidRPr="008343E1">
        <w:rPr>
          <w:rFonts w:ascii="Calibri" w:hAnsi="Calibri"/>
        </w:rPr>
        <w:t>‘</w:t>
      </w:r>
      <w:r w:rsidRPr="008343E1">
        <w:rPr>
          <w:rFonts w:ascii="Calibri" w:hAnsi="Calibri"/>
        </w:rPr>
        <w:t>Long-Term Potentiation in the Lizard Cerebral Cortex</w:t>
      </w:r>
      <w:r w:rsidR="00A0532F" w:rsidRPr="008343E1">
        <w:rPr>
          <w:rFonts w:ascii="Calibri" w:hAnsi="Calibri"/>
        </w:rPr>
        <w:t>’,</w:t>
      </w:r>
      <w:r w:rsidRPr="008343E1">
        <w:rPr>
          <w:rFonts w:ascii="Calibri" w:hAnsi="Calibri"/>
        </w:rPr>
        <w:t xml:space="preserve"> </w:t>
      </w:r>
      <w:r w:rsidRPr="008343E1">
        <w:rPr>
          <w:rFonts w:ascii="Calibri" w:hAnsi="Calibri"/>
          <w:i/>
        </w:rPr>
        <w:t>Society for Neuroscience Abstracts</w:t>
      </w:r>
      <w:r w:rsidRPr="008343E1">
        <w:rPr>
          <w:rFonts w:ascii="Calibri" w:hAnsi="Calibri"/>
        </w:rPr>
        <w:t>,</w:t>
      </w:r>
      <w:r w:rsidRPr="008343E1">
        <w:rPr>
          <w:rFonts w:ascii="Calibri" w:hAnsi="Calibri"/>
          <w:i/>
        </w:rPr>
        <w:t xml:space="preserve"> </w:t>
      </w:r>
      <w:r w:rsidR="00A0532F" w:rsidRPr="008343E1">
        <w:rPr>
          <w:rFonts w:ascii="Calibri" w:hAnsi="Calibri"/>
        </w:rPr>
        <w:t>11, p.</w:t>
      </w:r>
      <w:r w:rsidRPr="008343E1">
        <w:rPr>
          <w:rFonts w:ascii="Calibri" w:hAnsi="Calibri"/>
        </w:rPr>
        <w:t xml:space="preserve"> 527.</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 xml:space="preserve">LEWIS, D., &amp; </w:t>
      </w:r>
      <w:r w:rsidR="006C2935" w:rsidRPr="008343E1">
        <w:rPr>
          <w:rFonts w:ascii="Calibri" w:hAnsi="Calibri"/>
        </w:rPr>
        <w:t>TEYLER, T. J. (1986),</w:t>
      </w:r>
      <w:r w:rsidRPr="008343E1">
        <w:rPr>
          <w:rFonts w:ascii="Calibri" w:hAnsi="Calibri"/>
        </w:rPr>
        <w:t xml:space="preserve"> </w:t>
      </w:r>
      <w:r w:rsidR="006C2935" w:rsidRPr="008343E1">
        <w:rPr>
          <w:rFonts w:ascii="Calibri" w:hAnsi="Calibri"/>
        </w:rPr>
        <w:t>‘</w:t>
      </w:r>
      <w:r w:rsidRPr="008343E1">
        <w:rPr>
          <w:rFonts w:ascii="Calibri" w:hAnsi="Calibri"/>
        </w:rPr>
        <w:t>Long-Term Potentiati</w:t>
      </w:r>
      <w:r w:rsidR="006C2935" w:rsidRPr="008343E1">
        <w:rPr>
          <w:rFonts w:ascii="Calibri" w:hAnsi="Calibri"/>
        </w:rPr>
        <w:t>on in the Goldfish Optic Tectum’,</w:t>
      </w:r>
      <w:r w:rsidRPr="008343E1">
        <w:rPr>
          <w:rFonts w:ascii="Calibri" w:hAnsi="Calibri"/>
        </w:rPr>
        <w:t xml:space="preserve"> </w:t>
      </w:r>
      <w:r w:rsidRPr="008343E1">
        <w:rPr>
          <w:rFonts w:ascii="Calibri" w:hAnsi="Calibri"/>
          <w:i/>
        </w:rPr>
        <w:t>Brain Research</w:t>
      </w:r>
      <w:r w:rsidRPr="008343E1">
        <w:rPr>
          <w:rFonts w:ascii="Calibri" w:hAnsi="Calibri"/>
        </w:rPr>
        <w:t>,</w:t>
      </w:r>
      <w:r w:rsidRPr="008343E1">
        <w:rPr>
          <w:rFonts w:ascii="Calibri" w:hAnsi="Calibri"/>
          <w:i/>
        </w:rPr>
        <w:t xml:space="preserve"> </w:t>
      </w:r>
      <w:r w:rsidR="006C2935" w:rsidRPr="008343E1">
        <w:rPr>
          <w:rFonts w:ascii="Calibri" w:hAnsi="Calibri"/>
        </w:rPr>
        <w:t>375, pp. 246-</w:t>
      </w:r>
      <w:r w:rsidRPr="008343E1">
        <w:rPr>
          <w:rFonts w:ascii="Calibri" w:hAnsi="Calibri"/>
        </w:rPr>
        <w:t>50.</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LIBET, B., KOBAYASHI, H., &amp;</w:t>
      </w:r>
      <w:r w:rsidR="000D080A" w:rsidRPr="008343E1">
        <w:rPr>
          <w:rFonts w:ascii="Calibri" w:hAnsi="Calibri"/>
        </w:rPr>
        <w:t xml:space="preserve"> TANAKA, T. (1975),</w:t>
      </w:r>
      <w:r w:rsidRPr="008343E1">
        <w:rPr>
          <w:rFonts w:ascii="Calibri" w:hAnsi="Calibri"/>
        </w:rPr>
        <w:t xml:space="preserve"> </w:t>
      </w:r>
      <w:r w:rsidR="000D080A" w:rsidRPr="008343E1">
        <w:rPr>
          <w:rFonts w:ascii="Calibri" w:hAnsi="Calibri"/>
        </w:rPr>
        <w:t>‘</w:t>
      </w:r>
      <w:r w:rsidRPr="008343E1">
        <w:rPr>
          <w:rFonts w:ascii="Calibri" w:hAnsi="Calibri"/>
        </w:rPr>
        <w:t>Synaptic Coupling into the Production and Storage of a Neuronal Memory Trace</w:t>
      </w:r>
      <w:r w:rsidR="000D080A" w:rsidRPr="008343E1">
        <w:rPr>
          <w:rFonts w:ascii="Calibri" w:hAnsi="Calibri"/>
        </w:rPr>
        <w:t>’,</w:t>
      </w:r>
      <w:r w:rsidRPr="008343E1">
        <w:rPr>
          <w:rFonts w:ascii="Calibri" w:hAnsi="Calibri"/>
        </w:rPr>
        <w:t xml:space="preserve"> </w:t>
      </w:r>
      <w:r w:rsidRPr="008343E1">
        <w:rPr>
          <w:rFonts w:ascii="Calibri" w:hAnsi="Calibri"/>
          <w:i/>
        </w:rPr>
        <w:t>Nature</w:t>
      </w:r>
      <w:r w:rsidRPr="008343E1">
        <w:rPr>
          <w:rFonts w:ascii="Calibri" w:hAnsi="Calibri"/>
        </w:rPr>
        <w:t>,</w:t>
      </w:r>
      <w:r w:rsidRPr="008343E1">
        <w:rPr>
          <w:rFonts w:ascii="Calibri" w:hAnsi="Calibri"/>
          <w:i/>
        </w:rPr>
        <w:t xml:space="preserve"> </w:t>
      </w:r>
      <w:r w:rsidR="000D080A" w:rsidRPr="008343E1">
        <w:rPr>
          <w:rFonts w:ascii="Calibri" w:hAnsi="Calibri"/>
        </w:rPr>
        <w:t>258, pp. 155-</w:t>
      </w:r>
      <w:r w:rsidRPr="008343E1">
        <w:rPr>
          <w:rFonts w:ascii="Calibri" w:hAnsi="Calibri"/>
        </w:rPr>
        <w:t>7.</w:t>
      </w:r>
    </w:p>
    <w:p w:rsidR="000708F8" w:rsidRPr="008343E1" w:rsidRDefault="006A6266" w:rsidP="000708F8">
      <w:pPr>
        <w:pStyle w:val="ListParagraph"/>
        <w:numPr>
          <w:ilvl w:val="0"/>
          <w:numId w:val="35"/>
        </w:numPr>
        <w:spacing w:before="60" w:after="60" w:line="276" w:lineRule="auto"/>
        <w:rPr>
          <w:rFonts w:ascii="Calibri" w:hAnsi="Calibri" w:cs="Arial"/>
        </w:rPr>
      </w:pPr>
      <w:r w:rsidRPr="008343E1">
        <w:rPr>
          <w:rFonts w:ascii="Calibri" w:hAnsi="Calibri"/>
        </w:rPr>
        <w:t>LOMO, T. (1966),</w:t>
      </w:r>
      <w:r w:rsidR="000708F8" w:rsidRPr="008343E1">
        <w:rPr>
          <w:rFonts w:ascii="Calibri" w:hAnsi="Calibri"/>
        </w:rPr>
        <w:t xml:space="preserve"> </w:t>
      </w:r>
      <w:r w:rsidRPr="008343E1">
        <w:rPr>
          <w:rFonts w:ascii="Calibri" w:hAnsi="Calibri"/>
        </w:rPr>
        <w:t>‘</w:t>
      </w:r>
      <w:r w:rsidR="000708F8" w:rsidRPr="008343E1">
        <w:rPr>
          <w:rFonts w:ascii="Calibri" w:hAnsi="Calibri"/>
        </w:rPr>
        <w:t>Frequency Potentiation of Excitatory Synaptic Activity in the Dentate Area of the Hippocampal Formation</w:t>
      </w:r>
      <w:r w:rsidRPr="008343E1">
        <w:rPr>
          <w:rFonts w:ascii="Calibri" w:hAnsi="Calibri"/>
        </w:rPr>
        <w:t xml:space="preserve">’, </w:t>
      </w:r>
      <w:r w:rsidRPr="008343E1">
        <w:rPr>
          <w:rFonts w:ascii="Calibri" w:hAnsi="Calibri"/>
          <w:i/>
        </w:rPr>
        <w:t>Acta</w:t>
      </w:r>
      <w:r w:rsidR="000708F8" w:rsidRPr="008343E1">
        <w:rPr>
          <w:rFonts w:ascii="Calibri" w:hAnsi="Calibri"/>
          <w:i/>
        </w:rPr>
        <w:t xml:space="preserve"> Physiol</w:t>
      </w:r>
      <w:r w:rsidRPr="008343E1">
        <w:rPr>
          <w:rFonts w:ascii="Calibri" w:hAnsi="Calibri"/>
          <w:i/>
        </w:rPr>
        <w:t>ogica</w:t>
      </w:r>
      <w:r w:rsidR="000708F8" w:rsidRPr="008343E1">
        <w:rPr>
          <w:rFonts w:ascii="Calibri" w:hAnsi="Calibri"/>
          <w:i/>
        </w:rPr>
        <w:t xml:space="preserve"> Scand</w:t>
      </w:r>
      <w:r w:rsidRPr="008343E1">
        <w:rPr>
          <w:rFonts w:ascii="Calibri" w:hAnsi="Calibri"/>
          <w:i/>
        </w:rPr>
        <w:t>inavica</w:t>
      </w:r>
      <w:r w:rsidR="000708F8" w:rsidRPr="008343E1">
        <w:rPr>
          <w:rFonts w:ascii="Calibri" w:hAnsi="Calibri"/>
        </w:rPr>
        <w:t>, 68, suppl.</w:t>
      </w:r>
      <w:r w:rsidRPr="008343E1">
        <w:rPr>
          <w:rFonts w:ascii="Calibri" w:hAnsi="Calibri"/>
        </w:rPr>
        <w:t xml:space="preserve">, </w:t>
      </w:r>
      <w:r w:rsidR="000708F8" w:rsidRPr="008343E1">
        <w:rPr>
          <w:rFonts w:ascii="Calibri" w:hAnsi="Calibri"/>
        </w:rPr>
        <w:t>277, 128.</w:t>
      </w:r>
    </w:p>
    <w:p w:rsidR="000708F8" w:rsidRPr="008343E1" w:rsidRDefault="000708F8" w:rsidP="000708F8">
      <w:pPr>
        <w:pStyle w:val="ListParagraph"/>
        <w:numPr>
          <w:ilvl w:val="0"/>
          <w:numId w:val="35"/>
        </w:numPr>
        <w:spacing w:before="60" w:after="60" w:line="276" w:lineRule="auto"/>
        <w:rPr>
          <w:rFonts w:ascii="Calibri" w:eastAsia="Cambria" w:hAnsi="Calibri"/>
        </w:rPr>
      </w:pPr>
      <w:r w:rsidRPr="008343E1">
        <w:rPr>
          <w:rFonts w:ascii="Calibri" w:hAnsi="Calibri"/>
        </w:rPr>
        <w:t>MARTINEZ, C. DO. V., MARTINEZ J.</w:t>
      </w:r>
      <w:r w:rsidR="00912E7D" w:rsidRPr="008343E1">
        <w:rPr>
          <w:rFonts w:ascii="Calibri" w:hAnsi="Calibri"/>
        </w:rPr>
        <w:t xml:space="preserve"> L., and DERRICK, B. E. (2002), ‘</w:t>
      </w:r>
      <w:r w:rsidRPr="008343E1">
        <w:rPr>
          <w:rFonts w:ascii="Calibri" w:hAnsi="Calibri"/>
        </w:rPr>
        <w:t>Associative Long-Term Potentiation (LTP) Among Extrinsic Afferents of the Hippocampal CA3 Region in Vivo</w:t>
      </w:r>
      <w:r w:rsidR="00912E7D" w:rsidRPr="008343E1">
        <w:rPr>
          <w:rFonts w:ascii="Calibri" w:hAnsi="Calibri"/>
        </w:rPr>
        <w:t>’,</w:t>
      </w:r>
      <w:r w:rsidRPr="008343E1">
        <w:rPr>
          <w:rFonts w:ascii="Calibri" w:hAnsi="Calibri"/>
        </w:rPr>
        <w:t xml:space="preserve"> </w:t>
      </w:r>
      <w:r w:rsidRPr="008343E1">
        <w:rPr>
          <w:rFonts w:ascii="Calibri" w:hAnsi="Calibri"/>
          <w:i/>
        </w:rPr>
        <w:t>Brain Research</w:t>
      </w:r>
      <w:r w:rsidR="00912E7D" w:rsidRPr="008343E1">
        <w:rPr>
          <w:rFonts w:ascii="Calibri" w:hAnsi="Calibri"/>
        </w:rPr>
        <w:t>, 940, pp.</w:t>
      </w:r>
      <w:r w:rsidRPr="008343E1">
        <w:rPr>
          <w:rFonts w:ascii="Calibri" w:hAnsi="Calibri"/>
        </w:rPr>
        <w:t xml:space="preserve"> 86-94.  </w:t>
      </w:r>
    </w:p>
    <w:p w:rsidR="000708F8" w:rsidRPr="008343E1" w:rsidRDefault="000708F8" w:rsidP="000708F8">
      <w:pPr>
        <w:pStyle w:val="ListParagraph"/>
        <w:numPr>
          <w:ilvl w:val="0"/>
          <w:numId w:val="35"/>
        </w:numPr>
        <w:rPr>
          <w:rFonts w:ascii="Calibri" w:eastAsia="Calibri" w:hAnsi="Calibri"/>
        </w:rPr>
      </w:pPr>
      <w:r w:rsidRPr="008343E1">
        <w:rPr>
          <w:rFonts w:ascii="Calibri" w:eastAsia="Calibri" w:hAnsi="Calibri"/>
        </w:rPr>
        <w:t>MCDOWELL, J. (1994)</w:t>
      </w:r>
      <w:r w:rsidR="000E0660" w:rsidRPr="008343E1">
        <w:rPr>
          <w:rFonts w:ascii="Calibri" w:eastAsia="Calibri" w:hAnsi="Calibri"/>
        </w:rPr>
        <w:t>,</w:t>
      </w:r>
      <w:r w:rsidRPr="008343E1">
        <w:rPr>
          <w:rFonts w:ascii="Calibri" w:eastAsia="Calibri" w:hAnsi="Calibri"/>
        </w:rPr>
        <w:t xml:space="preserve"> </w:t>
      </w:r>
      <w:r w:rsidRPr="008343E1">
        <w:rPr>
          <w:rFonts w:ascii="Calibri" w:eastAsia="Calibri" w:hAnsi="Calibri"/>
          <w:i/>
        </w:rPr>
        <w:t>Mind and World</w:t>
      </w:r>
      <w:r w:rsidR="000E0660" w:rsidRPr="008343E1">
        <w:rPr>
          <w:rFonts w:ascii="Calibri" w:eastAsia="Calibri" w:hAnsi="Calibri"/>
        </w:rPr>
        <w:t>, Cambridge, MA,</w:t>
      </w:r>
      <w:r w:rsidRPr="008343E1">
        <w:rPr>
          <w:rFonts w:ascii="Calibri" w:eastAsia="Calibri" w:hAnsi="Calibri"/>
        </w:rPr>
        <w:t xml:space="preserve"> Harvard University Press.</w:t>
      </w:r>
    </w:p>
    <w:p w:rsidR="000708F8" w:rsidRPr="008343E1" w:rsidRDefault="000708F8" w:rsidP="000708F8">
      <w:pPr>
        <w:pStyle w:val="Kleurrijkelijst-accent11"/>
        <w:numPr>
          <w:ilvl w:val="0"/>
          <w:numId w:val="35"/>
        </w:numPr>
        <w:spacing w:after="0" w:line="240" w:lineRule="auto"/>
        <w:rPr>
          <w:sz w:val="24"/>
          <w:szCs w:val="24"/>
        </w:rPr>
      </w:pPr>
      <w:r w:rsidRPr="008343E1">
        <w:rPr>
          <w:bCs/>
          <w:sz w:val="24"/>
          <w:szCs w:val="24"/>
        </w:rPr>
        <w:t>MERCIER, H.</w:t>
      </w:r>
      <w:r w:rsidRPr="008343E1">
        <w:rPr>
          <w:sz w:val="24"/>
          <w:szCs w:val="24"/>
        </w:rPr>
        <w:t xml:space="preserve"> &amp; </w:t>
      </w:r>
      <w:r w:rsidRPr="008343E1">
        <w:rPr>
          <w:bCs/>
          <w:sz w:val="24"/>
          <w:szCs w:val="24"/>
        </w:rPr>
        <w:t>SPERBER, D</w:t>
      </w:r>
      <w:r w:rsidR="000F5269" w:rsidRPr="008343E1">
        <w:rPr>
          <w:sz w:val="24"/>
          <w:szCs w:val="24"/>
        </w:rPr>
        <w:t>. (2011),</w:t>
      </w:r>
      <w:r w:rsidRPr="008343E1">
        <w:rPr>
          <w:sz w:val="24"/>
          <w:szCs w:val="24"/>
        </w:rPr>
        <w:t xml:space="preserve"> </w:t>
      </w:r>
      <w:r w:rsidR="000F5269" w:rsidRPr="008343E1">
        <w:rPr>
          <w:sz w:val="24"/>
          <w:szCs w:val="24"/>
        </w:rPr>
        <w:t>‘</w:t>
      </w:r>
      <w:r w:rsidR="0057570F" w:rsidRPr="008343E1">
        <w:rPr>
          <w:sz w:val="24"/>
          <w:szCs w:val="24"/>
        </w:rPr>
        <w:t>Why do Humans R</w:t>
      </w:r>
      <w:r w:rsidRPr="008343E1">
        <w:rPr>
          <w:sz w:val="24"/>
          <w:szCs w:val="24"/>
        </w:rPr>
        <w:t xml:space="preserve">eason? Arguments for an </w:t>
      </w:r>
      <w:r w:rsidR="0057570F" w:rsidRPr="008343E1">
        <w:rPr>
          <w:sz w:val="24"/>
          <w:szCs w:val="24"/>
        </w:rPr>
        <w:t>Argumentative Theory’</w:t>
      </w:r>
      <w:r w:rsidR="000F5269" w:rsidRPr="008343E1">
        <w:rPr>
          <w:sz w:val="24"/>
          <w:szCs w:val="24"/>
        </w:rPr>
        <w:t>,</w:t>
      </w:r>
      <w:r w:rsidRPr="008343E1">
        <w:rPr>
          <w:sz w:val="24"/>
          <w:szCs w:val="24"/>
        </w:rPr>
        <w:t xml:space="preserve"> </w:t>
      </w:r>
      <w:r w:rsidR="0019187B" w:rsidRPr="008343E1">
        <w:rPr>
          <w:i/>
          <w:sz w:val="24"/>
          <w:szCs w:val="24"/>
        </w:rPr>
        <w:t>Behavio</w:t>
      </w:r>
      <w:r w:rsidRPr="008343E1">
        <w:rPr>
          <w:i/>
          <w:sz w:val="24"/>
          <w:szCs w:val="24"/>
        </w:rPr>
        <w:t>ral and Brain Sciences</w:t>
      </w:r>
      <w:r w:rsidR="000F5269" w:rsidRPr="008343E1">
        <w:rPr>
          <w:sz w:val="24"/>
          <w:szCs w:val="24"/>
        </w:rPr>
        <w:t>, 34, pp. 57-</w:t>
      </w:r>
      <w:r w:rsidRPr="008343E1">
        <w:rPr>
          <w:sz w:val="24"/>
          <w:szCs w:val="24"/>
        </w:rPr>
        <w:t>111.</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lang w:val="en-US"/>
        </w:rPr>
        <w:t>MEYER, D. E</w:t>
      </w:r>
      <w:r w:rsidR="006F2EFF" w:rsidRPr="008343E1">
        <w:rPr>
          <w:sz w:val="24"/>
          <w:szCs w:val="24"/>
          <w:lang w:val="en-US"/>
        </w:rPr>
        <w:t>. &amp; SCHVANEVELDT, R. W. (1971), ‘</w:t>
      </w:r>
      <w:r w:rsidRPr="008343E1">
        <w:rPr>
          <w:sz w:val="24"/>
          <w:szCs w:val="24"/>
          <w:lang w:val="en-US"/>
        </w:rPr>
        <w:t xml:space="preserve">Facilitation in Recognizing Pairs of Words: Evidence of </w:t>
      </w:r>
      <w:proofErr w:type="gramStart"/>
      <w:r w:rsidRPr="008343E1">
        <w:rPr>
          <w:sz w:val="24"/>
          <w:szCs w:val="24"/>
          <w:lang w:val="en-US"/>
        </w:rPr>
        <w:t>a Dependence</w:t>
      </w:r>
      <w:proofErr w:type="gramEnd"/>
      <w:r w:rsidRPr="008343E1">
        <w:rPr>
          <w:sz w:val="24"/>
          <w:szCs w:val="24"/>
          <w:lang w:val="en-US"/>
        </w:rPr>
        <w:t xml:space="preserve"> Between Retrieval Operations</w:t>
      </w:r>
      <w:r w:rsidR="006F2EFF" w:rsidRPr="008343E1">
        <w:rPr>
          <w:sz w:val="24"/>
          <w:szCs w:val="24"/>
          <w:lang w:val="en-US"/>
        </w:rPr>
        <w:t>’,</w:t>
      </w:r>
      <w:r w:rsidRPr="008343E1">
        <w:rPr>
          <w:sz w:val="24"/>
          <w:szCs w:val="24"/>
          <w:lang w:val="en-US"/>
        </w:rPr>
        <w:t xml:space="preserve"> </w:t>
      </w:r>
      <w:r w:rsidRPr="008343E1">
        <w:rPr>
          <w:i/>
          <w:iCs/>
          <w:sz w:val="24"/>
          <w:szCs w:val="24"/>
          <w:lang w:val="en-US"/>
        </w:rPr>
        <w:t>Journal of Experimental Psychology</w:t>
      </w:r>
      <w:r w:rsidRPr="008343E1">
        <w:rPr>
          <w:iCs/>
          <w:sz w:val="24"/>
          <w:szCs w:val="24"/>
          <w:lang w:val="en-US"/>
        </w:rPr>
        <w:t>,</w:t>
      </w:r>
      <w:r w:rsidRPr="008343E1">
        <w:rPr>
          <w:sz w:val="24"/>
          <w:szCs w:val="24"/>
          <w:lang w:val="en-US"/>
        </w:rPr>
        <w:t xml:space="preserve"> </w:t>
      </w:r>
      <w:r w:rsidRPr="008343E1">
        <w:rPr>
          <w:bCs/>
          <w:sz w:val="24"/>
          <w:szCs w:val="24"/>
          <w:lang w:val="en-US"/>
        </w:rPr>
        <w:t>90</w:t>
      </w:r>
      <w:r w:rsidRPr="008343E1">
        <w:rPr>
          <w:sz w:val="24"/>
          <w:szCs w:val="24"/>
          <w:lang w:val="en-US"/>
        </w:rPr>
        <w:t>, 2, pp. 227–34</w:t>
      </w:r>
      <w:r w:rsidR="006F2EFF" w:rsidRPr="008343E1">
        <w:rPr>
          <w:sz w:val="24"/>
          <w:szCs w:val="24"/>
          <w:lang w:val="en-US"/>
        </w:rPr>
        <w:t>.</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MONSELL, S. &amp; DRIVER, J. (2000)</w:t>
      </w:r>
      <w:r w:rsidR="006F2EFF" w:rsidRPr="008343E1">
        <w:rPr>
          <w:sz w:val="24"/>
          <w:szCs w:val="24"/>
        </w:rPr>
        <w:t>,</w:t>
      </w:r>
      <w:r w:rsidRPr="008343E1">
        <w:rPr>
          <w:sz w:val="24"/>
          <w:szCs w:val="24"/>
        </w:rPr>
        <w:t xml:space="preserve"> </w:t>
      </w:r>
      <w:r w:rsidRPr="008343E1">
        <w:rPr>
          <w:i/>
          <w:sz w:val="24"/>
          <w:szCs w:val="24"/>
        </w:rPr>
        <w:t xml:space="preserve">Control of </w:t>
      </w:r>
      <w:r w:rsidR="006F2EFF" w:rsidRPr="008343E1">
        <w:rPr>
          <w:i/>
          <w:sz w:val="24"/>
          <w:szCs w:val="24"/>
        </w:rPr>
        <w:t>C</w:t>
      </w:r>
      <w:r w:rsidRPr="008343E1">
        <w:rPr>
          <w:i/>
          <w:sz w:val="24"/>
          <w:szCs w:val="24"/>
        </w:rPr>
        <w:t xml:space="preserve">ognitive </w:t>
      </w:r>
      <w:r w:rsidR="006F2EFF" w:rsidRPr="008343E1">
        <w:rPr>
          <w:i/>
          <w:sz w:val="24"/>
          <w:szCs w:val="24"/>
        </w:rPr>
        <w:t>P</w:t>
      </w:r>
      <w:r w:rsidRPr="008343E1">
        <w:rPr>
          <w:i/>
          <w:sz w:val="24"/>
          <w:szCs w:val="24"/>
        </w:rPr>
        <w:t>rocesses</w:t>
      </w:r>
      <w:r w:rsidR="006F2EFF" w:rsidRPr="008343E1">
        <w:rPr>
          <w:sz w:val="24"/>
          <w:szCs w:val="24"/>
        </w:rPr>
        <w:t>, Cambridge, MA,</w:t>
      </w:r>
      <w:r w:rsidRPr="008343E1">
        <w:rPr>
          <w:sz w:val="24"/>
          <w:szCs w:val="24"/>
        </w:rPr>
        <w:t xml:space="preserve"> MIT Press.</w:t>
      </w:r>
    </w:p>
    <w:p w:rsidR="000708F8" w:rsidRPr="008343E1" w:rsidRDefault="000708F8" w:rsidP="000708F8">
      <w:pPr>
        <w:pStyle w:val="ListParagraph"/>
        <w:numPr>
          <w:ilvl w:val="0"/>
          <w:numId w:val="35"/>
        </w:numPr>
        <w:rPr>
          <w:rFonts w:ascii="Calibri" w:eastAsia="Calibri" w:hAnsi="Calibri"/>
        </w:rPr>
      </w:pPr>
      <w:r w:rsidRPr="008343E1">
        <w:rPr>
          <w:rFonts w:ascii="Calibri" w:eastAsia="Calibri" w:hAnsi="Calibri"/>
        </w:rPr>
        <w:t>NORENZAYAN, A., C</w:t>
      </w:r>
      <w:r w:rsidR="00CD42B7" w:rsidRPr="008343E1">
        <w:rPr>
          <w:rFonts w:ascii="Calibri" w:eastAsia="Calibri" w:hAnsi="Calibri"/>
        </w:rPr>
        <w:t>HOI, I. &amp; NISBETT, R. E. (2002),</w:t>
      </w:r>
      <w:r w:rsidRPr="008343E1">
        <w:rPr>
          <w:rFonts w:ascii="Calibri" w:eastAsia="Calibri" w:hAnsi="Calibri"/>
        </w:rPr>
        <w:t xml:space="preserve"> </w:t>
      </w:r>
      <w:r w:rsidR="00CD42B7" w:rsidRPr="008343E1">
        <w:rPr>
          <w:rFonts w:ascii="Calibri" w:eastAsia="Calibri" w:hAnsi="Calibri"/>
        </w:rPr>
        <w:t>‘</w:t>
      </w:r>
      <w:r w:rsidRPr="008343E1">
        <w:rPr>
          <w:rFonts w:ascii="Calibri" w:eastAsia="Calibri" w:hAnsi="Calibri"/>
        </w:rPr>
        <w:t xml:space="preserve">Cultural </w:t>
      </w:r>
      <w:r w:rsidR="0057570F" w:rsidRPr="008343E1">
        <w:rPr>
          <w:rFonts w:ascii="Calibri" w:eastAsia="Calibri" w:hAnsi="Calibri"/>
        </w:rPr>
        <w:t xml:space="preserve">Similarities </w:t>
      </w:r>
      <w:r w:rsidRPr="008343E1">
        <w:rPr>
          <w:rFonts w:ascii="Calibri" w:eastAsia="Calibri" w:hAnsi="Calibri"/>
        </w:rPr>
        <w:t xml:space="preserve">and </w:t>
      </w:r>
      <w:r w:rsidR="0057570F" w:rsidRPr="008343E1">
        <w:rPr>
          <w:rFonts w:ascii="Calibri" w:eastAsia="Calibri" w:hAnsi="Calibri"/>
        </w:rPr>
        <w:t xml:space="preserve">Differences </w:t>
      </w:r>
      <w:r w:rsidRPr="008343E1">
        <w:rPr>
          <w:rFonts w:ascii="Calibri" w:eastAsia="Calibri" w:hAnsi="Calibri"/>
        </w:rPr>
        <w:t xml:space="preserve">in </w:t>
      </w:r>
      <w:r w:rsidR="0057570F" w:rsidRPr="008343E1">
        <w:rPr>
          <w:rFonts w:ascii="Calibri" w:eastAsia="Calibri" w:hAnsi="Calibri"/>
        </w:rPr>
        <w:t>Social Inference</w:t>
      </w:r>
      <w:r w:rsidRPr="008343E1">
        <w:rPr>
          <w:rFonts w:ascii="Calibri" w:eastAsia="Calibri" w:hAnsi="Calibri"/>
        </w:rPr>
        <w:t xml:space="preserve">: Evidence from </w:t>
      </w:r>
      <w:r w:rsidR="0057570F" w:rsidRPr="008343E1">
        <w:rPr>
          <w:rFonts w:ascii="Calibri" w:eastAsia="Calibri" w:hAnsi="Calibri"/>
        </w:rPr>
        <w:t xml:space="preserve">Behavioral Predictions </w:t>
      </w:r>
      <w:r w:rsidR="00CD42B7" w:rsidRPr="008343E1">
        <w:rPr>
          <w:rFonts w:ascii="Calibri" w:eastAsia="Calibri" w:hAnsi="Calibri"/>
        </w:rPr>
        <w:t xml:space="preserve">and </w:t>
      </w:r>
      <w:r w:rsidR="0057570F" w:rsidRPr="008343E1">
        <w:rPr>
          <w:rFonts w:ascii="Calibri" w:eastAsia="Calibri" w:hAnsi="Calibri"/>
        </w:rPr>
        <w:t xml:space="preserve">Lay Theories </w:t>
      </w:r>
      <w:r w:rsidR="00CD42B7" w:rsidRPr="008343E1">
        <w:rPr>
          <w:rFonts w:ascii="Calibri" w:eastAsia="Calibri" w:hAnsi="Calibri"/>
        </w:rPr>
        <w:t xml:space="preserve">of </w:t>
      </w:r>
      <w:r w:rsidR="0057570F" w:rsidRPr="008343E1">
        <w:rPr>
          <w:rFonts w:ascii="Calibri" w:eastAsia="Calibri" w:hAnsi="Calibri"/>
        </w:rPr>
        <w:t>Behavior’</w:t>
      </w:r>
      <w:r w:rsidR="00CD42B7" w:rsidRPr="008343E1">
        <w:rPr>
          <w:rFonts w:ascii="Calibri" w:eastAsia="Calibri" w:hAnsi="Calibri"/>
        </w:rPr>
        <w:t>,</w:t>
      </w:r>
      <w:r w:rsidRPr="008343E1">
        <w:rPr>
          <w:rFonts w:ascii="Calibri" w:eastAsia="Calibri" w:hAnsi="Calibri"/>
        </w:rPr>
        <w:t xml:space="preserve"> </w:t>
      </w:r>
      <w:r w:rsidRPr="008343E1">
        <w:rPr>
          <w:rFonts w:ascii="Calibri" w:eastAsia="Calibri" w:hAnsi="Calibri"/>
          <w:i/>
        </w:rPr>
        <w:t>Personality and Social Psychology Bulletin</w:t>
      </w:r>
      <w:r w:rsidR="00CD42B7" w:rsidRPr="008343E1">
        <w:rPr>
          <w:rFonts w:ascii="Calibri" w:eastAsia="Calibri" w:hAnsi="Calibri"/>
        </w:rPr>
        <w:t>, 28,</w:t>
      </w:r>
      <w:r w:rsidR="00436F42" w:rsidRPr="008343E1">
        <w:rPr>
          <w:rFonts w:ascii="Calibri" w:eastAsia="Calibri" w:hAnsi="Calibri"/>
        </w:rPr>
        <w:t xml:space="preserve"> </w:t>
      </w:r>
      <w:r w:rsidR="00CD42B7" w:rsidRPr="008343E1">
        <w:rPr>
          <w:rFonts w:ascii="Calibri" w:eastAsia="Calibri" w:hAnsi="Calibri"/>
        </w:rPr>
        <w:t>1, pp.</w:t>
      </w:r>
      <w:r w:rsidRPr="008343E1">
        <w:rPr>
          <w:rFonts w:ascii="Calibri" w:eastAsia="Calibri" w:hAnsi="Calibri"/>
        </w:rPr>
        <w:t xml:space="preserve"> 109–20.</w:t>
      </w:r>
    </w:p>
    <w:p w:rsidR="000708F8" w:rsidRPr="007F3915" w:rsidRDefault="000708F8" w:rsidP="000708F8">
      <w:pPr>
        <w:pStyle w:val="Kleurrijkelijst-accent11"/>
        <w:numPr>
          <w:ilvl w:val="0"/>
          <w:numId w:val="35"/>
        </w:numPr>
        <w:spacing w:after="0" w:line="240" w:lineRule="auto"/>
        <w:rPr>
          <w:sz w:val="24"/>
          <w:szCs w:val="24"/>
        </w:rPr>
      </w:pPr>
      <w:r w:rsidRPr="007F3915">
        <w:rPr>
          <w:color w:val="231F20"/>
          <w:position w:val="1"/>
          <w:sz w:val="24"/>
          <w:szCs w:val="24"/>
        </w:rPr>
        <w:t>NOUDOOST</w:t>
      </w:r>
      <w:r w:rsidRPr="007F3915">
        <w:rPr>
          <w:color w:val="231F20"/>
          <w:spacing w:val="9"/>
          <w:position w:val="1"/>
          <w:sz w:val="24"/>
          <w:szCs w:val="24"/>
        </w:rPr>
        <w:t xml:space="preserve"> </w:t>
      </w:r>
      <w:r w:rsidRPr="007F3915">
        <w:rPr>
          <w:color w:val="231F20"/>
          <w:position w:val="1"/>
          <w:sz w:val="24"/>
          <w:szCs w:val="24"/>
        </w:rPr>
        <w:t>B.,</w:t>
      </w:r>
      <w:r w:rsidRPr="007F3915">
        <w:rPr>
          <w:color w:val="231F20"/>
          <w:spacing w:val="10"/>
          <w:position w:val="1"/>
          <w:sz w:val="24"/>
          <w:szCs w:val="24"/>
        </w:rPr>
        <w:t xml:space="preserve"> </w:t>
      </w:r>
      <w:r w:rsidRPr="007F3915">
        <w:rPr>
          <w:color w:val="231F20"/>
          <w:position w:val="1"/>
          <w:sz w:val="24"/>
          <w:szCs w:val="24"/>
        </w:rPr>
        <w:t>CHANG</w:t>
      </w:r>
      <w:r w:rsidRPr="007F3915">
        <w:rPr>
          <w:color w:val="231F20"/>
          <w:spacing w:val="5"/>
          <w:position w:val="1"/>
          <w:sz w:val="24"/>
          <w:szCs w:val="24"/>
        </w:rPr>
        <w:t xml:space="preserve"> </w:t>
      </w:r>
      <w:r w:rsidRPr="007F3915">
        <w:rPr>
          <w:color w:val="231F20"/>
          <w:position w:val="1"/>
          <w:sz w:val="24"/>
          <w:szCs w:val="24"/>
        </w:rPr>
        <w:t>M. H.,</w:t>
      </w:r>
      <w:r w:rsidRPr="007F3915">
        <w:rPr>
          <w:color w:val="231F20"/>
          <w:spacing w:val="9"/>
          <w:position w:val="1"/>
          <w:sz w:val="24"/>
          <w:szCs w:val="24"/>
        </w:rPr>
        <w:t xml:space="preserve"> </w:t>
      </w:r>
      <w:r w:rsidRPr="007F3915">
        <w:rPr>
          <w:color w:val="231F20"/>
          <w:position w:val="1"/>
          <w:sz w:val="24"/>
          <w:szCs w:val="24"/>
        </w:rPr>
        <w:t>STEINMETZ</w:t>
      </w:r>
      <w:r w:rsidRPr="007F3915">
        <w:rPr>
          <w:color w:val="231F20"/>
          <w:spacing w:val="3"/>
          <w:position w:val="1"/>
          <w:sz w:val="24"/>
          <w:szCs w:val="24"/>
        </w:rPr>
        <w:t xml:space="preserve"> </w:t>
      </w:r>
      <w:r w:rsidRPr="007F3915">
        <w:rPr>
          <w:color w:val="231F20"/>
          <w:position w:val="1"/>
          <w:sz w:val="24"/>
          <w:szCs w:val="24"/>
        </w:rPr>
        <w:t>N. A.,</w:t>
      </w:r>
      <w:r w:rsidRPr="007F3915">
        <w:rPr>
          <w:color w:val="231F20"/>
          <w:spacing w:val="1"/>
          <w:position w:val="1"/>
          <w:sz w:val="24"/>
          <w:szCs w:val="24"/>
        </w:rPr>
        <w:t xml:space="preserve"> &amp; </w:t>
      </w:r>
      <w:r w:rsidRPr="007F3915">
        <w:rPr>
          <w:color w:val="231F20"/>
          <w:position w:val="1"/>
          <w:sz w:val="24"/>
          <w:szCs w:val="24"/>
        </w:rPr>
        <w:t>MOORE,</w:t>
      </w:r>
      <w:r w:rsidRPr="007F3915">
        <w:rPr>
          <w:color w:val="231F20"/>
          <w:spacing w:val="9"/>
          <w:position w:val="1"/>
          <w:sz w:val="24"/>
          <w:szCs w:val="24"/>
        </w:rPr>
        <w:t xml:space="preserve"> </w:t>
      </w:r>
      <w:r w:rsidRPr="007F3915">
        <w:rPr>
          <w:color w:val="231F20"/>
          <w:position w:val="1"/>
          <w:sz w:val="24"/>
          <w:szCs w:val="24"/>
        </w:rPr>
        <w:t xml:space="preserve">T. </w:t>
      </w:r>
      <w:r w:rsidRPr="007F3915">
        <w:rPr>
          <w:color w:val="231F20"/>
          <w:spacing w:val="5"/>
          <w:position w:val="1"/>
          <w:sz w:val="24"/>
          <w:szCs w:val="24"/>
        </w:rPr>
        <w:t xml:space="preserve"> </w:t>
      </w:r>
      <w:r w:rsidR="002F5617" w:rsidRPr="007F3915">
        <w:rPr>
          <w:color w:val="231F20"/>
          <w:position w:val="1"/>
          <w:sz w:val="24"/>
          <w:szCs w:val="24"/>
        </w:rPr>
        <w:t>(2010),</w:t>
      </w:r>
      <w:r w:rsidRPr="007F3915">
        <w:rPr>
          <w:color w:val="231F20"/>
          <w:position w:val="1"/>
          <w:sz w:val="24"/>
          <w:szCs w:val="24"/>
        </w:rPr>
        <w:t xml:space="preserve"> </w:t>
      </w:r>
      <w:r w:rsidR="002F5617" w:rsidRPr="007F3915">
        <w:rPr>
          <w:color w:val="231F20"/>
          <w:spacing w:val="11"/>
          <w:position w:val="1"/>
          <w:sz w:val="24"/>
          <w:szCs w:val="24"/>
        </w:rPr>
        <w:t>‘</w:t>
      </w:r>
      <w:r w:rsidRPr="007F3915">
        <w:rPr>
          <w:color w:val="231F20"/>
          <w:position w:val="1"/>
          <w:sz w:val="24"/>
          <w:szCs w:val="24"/>
        </w:rPr>
        <w:t>Top-</w:t>
      </w:r>
      <w:r w:rsidR="0057570F" w:rsidRPr="007F3915">
        <w:rPr>
          <w:color w:val="231F20"/>
          <w:position w:val="1"/>
          <w:sz w:val="24"/>
          <w:szCs w:val="24"/>
        </w:rPr>
        <w:t>Down</w:t>
      </w:r>
      <w:r w:rsidR="0057570F" w:rsidRPr="007F3915">
        <w:rPr>
          <w:color w:val="231F20"/>
          <w:spacing w:val="9"/>
          <w:position w:val="1"/>
          <w:sz w:val="24"/>
          <w:szCs w:val="24"/>
        </w:rPr>
        <w:t xml:space="preserve"> </w:t>
      </w:r>
      <w:r w:rsidR="0057570F" w:rsidRPr="007F3915">
        <w:rPr>
          <w:color w:val="231F20"/>
          <w:position w:val="1"/>
          <w:sz w:val="24"/>
          <w:szCs w:val="24"/>
        </w:rPr>
        <w:t xml:space="preserve">Control </w:t>
      </w:r>
      <w:proofErr w:type="gramStart"/>
      <w:r w:rsidRPr="007F3915">
        <w:rPr>
          <w:color w:val="231F20"/>
          <w:sz w:val="24"/>
          <w:szCs w:val="24"/>
        </w:rPr>
        <w:t>of</w:t>
      </w:r>
      <w:proofErr w:type="gramEnd"/>
      <w:r w:rsidRPr="007F3915">
        <w:rPr>
          <w:color w:val="231F20"/>
          <w:sz w:val="24"/>
          <w:szCs w:val="24"/>
        </w:rPr>
        <w:t xml:space="preserve"> </w:t>
      </w:r>
      <w:r w:rsidR="0057570F" w:rsidRPr="007F3915">
        <w:rPr>
          <w:color w:val="231F20"/>
          <w:sz w:val="24"/>
          <w:szCs w:val="24"/>
        </w:rPr>
        <w:t>Visual</w:t>
      </w:r>
      <w:r w:rsidR="0057570F" w:rsidRPr="007F3915">
        <w:rPr>
          <w:color w:val="231F20"/>
          <w:spacing w:val="-4"/>
          <w:sz w:val="24"/>
          <w:szCs w:val="24"/>
        </w:rPr>
        <w:t xml:space="preserve"> </w:t>
      </w:r>
      <w:r w:rsidR="0057570F" w:rsidRPr="007F3915">
        <w:rPr>
          <w:color w:val="231F20"/>
          <w:sz w:val="24"/>
          <w:szCs w:val="24"/>
        </w:rPr>
        <w:t>Attention’</w:t>
      </w:r>
      <w:r w:rsidR="002F5617" w:rsidRPr="007F3915">
        <w:rPr>
          <w:color w:val="231F20"/>
          <w:sz w:val="24"/>
          <w:szCs w:val="24"/>
        </w:rPr>
        <w:t>,</w:t>
      </w:r>
      <w:r w:rsidRPr="007F3915">
        <w:rPr>
          <w:color w:val="231F20"/>
          <w:sz w:val="24"/>
          <w:szCs w:val="24"/>
        </w:rPr>
        <w:t xml:space="preserve"> </w:t>
      </w:r>
      <w:r w:rsidRPr="007F3915">
        <w:rPr>
          <w:i/>
          <w:color w:val="231F20"/>
          <w:sz w:val="24"/>
          <w:szCs w:val="24"/>
        </w:rPr>
        <w:t>Current Opinion in Neurobiology,</w:t>
      </w:r>
      <w:r w:rsidRPr="007F3915">
        <w:rPr>
          <w:color w:val="231F20"/>
          <w:sz w:val="24"/>
          <w:szCs w:val="24"/>
        </w:rPr>
        <w:t xml:space="preserve"> 20, pp. </w:t>
      </w:r>
      <w:r w:rsidR="002F5617" w:rsidRPr="007F3915">
        <w:rPr>
          <w:color w:val="231F20"/>
          <w:sz w:val="24"/>
          <w:szCs w:val="24"/>
        </w:rPr>
        <w:t>183-9</w:t>
      </w:r>
      <w:r w:rsidRPr="007F3915">
        <w:rPr>
          <w:color w:val="231F20"/>
          <w:sz w:val="24"/>
          <w:szCs w:val="24"/>
        </w:rPr>
        <w:t>0.</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 xml:space="preserve">OAKSFORD, M., MORRIS, F., GRAINGER, </w:t>
      </w:r>
      <w:r w:rsidR="0095596A" w:rsidRPr="008343E1">
        <w:rPr>
          <w:rFonts w:eastAsia="MS Mincho"/>
          <w:sz w:val="24"/>
          <w:szCs w:val="24"/>
          <w:lang w:val="en-US" w:eastAsia="ja-JP"/>
        </w:rPr>
        <w:t>B., &amp; WILLIAMS, J. M. G, (1996),</w:t>
      </w:r>
      <w:r w:rsidRPr="008343E1">
        <w:rPr>
          <w:rFonts w:eastAsia="MS Mincho"/>
          <w:sz w:val="24"/>
          <w:szCs w:val="24"/>
          <w:lang w:val="en-US" w:eastAsia="ja-JP"/>
        </w:rPr>
        <w:t xml:space="preserve"> </w:t>
      </w:r>
      <w:r w:rsidR="00536363">
        <w:rPr>
          <w:rFonts w:eastAsia="MS Mincho"/>
          <w:sz w:val="24"/>
          <w:szCs w:val="24"/>
          <w:lang w:val="en-US" w:eastAsia="ja-JP"/>
        </w:rPr>
        <w:t>‘</w:t>
      </w:r>
      <w:r w:rsidRPr="008343E1">
        <w:rPr>
          <w:rFonts w:eastAsia="MS Mincho"/>
          <w:sz w:val="24"/>
          <w:szCs w:val="24"/>
          <w:lang w:val="en-US" w:eastAsia="ja-JP"/>
        </w:rPr>
        <w:t xml:space="preserve">Mood, </w:t>
      </w:r>
      <w:r w:rsidR="0057570F" w:rsidRPr="008343E1">
        <w:rPr>
          <w:rFonts w:eastAsia="MS Mincho"/>
          <w:sz w:val="24"/>
          <w:szCs w:val="24"/>
          <w:lang w:val="en-US" w:eastAsia="ja-JP"/>
        </w:rPr>
        <w:t>Reasoning</w:t>
      </w:r>
      <w:r w:rsidRPr="008343E1">
        <w:rPr>
          <w:rFonts w:eastAsia="MS Mincho"/>
          <w:sz w:val="24"/>
          <w:szCs w:val="24"/>
          <w:lang w:val="en-US" w:eastAsia="ja-JP"/>
        </w:rPr>
        <w:t xml:space="preserve">, and </w:t>
      </w:r>
      <w:r w:rsidR="0057570F" w:rsidRPr="008343E1">
        <w:rPr>
          <w:rFonts w:eastAsia="MS Mincho"/>
          <w:sz w:val="24"/>
          <w:szCs w:val="24"/>
          <w:lang w:val="en-US" w:eastAsia="ja-JP"/>
        </w:rPr>
        <w:t>Central Executive Processes</w:t>
      </w:r>
      <w:r w:rsidR="00536363">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Journal of Experimental Psychology: Learning, Memory, and Cognition</w:t>
      </w:r>
      <w:r w:rsidR="00B02C27" w:rsidRPr="008343E1">
        <w:rPr>
          <w:rFonts w:eastAsia="MS Mincho"/>
          <w:sz w:val="24"/>
          <w:szCs w:val="24"/>
          <w:lang w:val="en-US" w:eastAsia="ja-JP"/>
        </w:rPr>
        <w:t>, 22, pp. 476-9</w:t>
      </w:r>
      <w:r w:rsidRPr="008343E1">
        <w:rPr>
          <w:rFonts w:eastAsia="MS Mincho"/>
          <w:sz w:val="24"/>
          <w:szCs w:val="24"/>
          <w:lang w:val="en-US" w:eastAsia="ja-JP"/>
        </w:rPr>
        <w:t>92.</w:t>
      </w:r>
    </w:p>
    <w:p w:rsidR="000708F8" w:rsidRPr="008343E1" w:rsidRDefault="00B02C27"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OSMAN, M. (2004),</w:t>
      </w:r>
      <w:r w:rsidR="000708F8" w:rsidRPr="008343E1">
        <w:rPr>
          <w:rFonts w:eastAsia="MS Mincho"/>
          <w:sz w:val="24"/>
          <w:szCs w:val="24"/>
          <w:lang w:val="en-US" w:eastAsia="ja-JP"/>
        </w:rPr>
        <w:t xml:space="preserve"> </w:t>
      </w:r>
      <w:r w:rsidRPr="008343E1">
        <w:rPr>
          <w:rFonts w:eastAsia="MS Mincho"/>
          <w:sz w:val="24"/>
          <w:szCs w:val="24"/>
          <w:lang w:val="en-US" w:eastAsia="ja-JP"/>
        </w:rPr>
        <w:t>‘</w:t>
      </w:r>
      <w:r w:rsidR="000708F8" w:rsidRPr="008343E1">
        <w:rPr>
          <w:rFonts w:eastAsia="MS Mincho"/>
          <w:sz w:val="24"/>
          <w:szCs w:val="24"/>
          <w:lang w:val="en-US" w:eastAsia="ja-JP"/>
        </w:rPr>
        <w:t xml:space="preserve">An </w:t>
      </w:r>
      <w:r w:rsidR="0057570F" w:rsidRPr="008343E1">
        <w:rPr>
          <w:rFonts w:eastAsia="MS Mincho"/>
          <w:sz w:val="24"/>
          <w:szCs w:val="24"/>
          <w:lang w:val="en-US" w:eastAsia="ja-JP"/>
        </w:rPr>
        <w:t xml:space="preserve">Evaluation </w:t>
      </w:r>
      <w:r w:rsidR="000708F8" w:rsidRPr="008343E1">
        <w:rPr>
          <w:rFonts w:eastAsia="MS Mincho"/>
          <w:sz w:val="24"/>
          <w:szCs w:val="24"/>
          <w:lang w:val="en-US" w:eastAsia="ja-JP"/>
        </w:rPr>
        <w:t xml:space="preserve">of </w:t>
      </w:r>
      <w:r w:rsidR="0057570F" w:rsidRPr="008343E1">
        <w:rPr>
          <w:rFonts w:eastAsia="MS Mincho"/>
          <w:sz w:val="24"/>
          <w:szCs w:val="24"/>
          <w:lang w:val="en-US" w:eastAsia="ja-JP"/>
        </w:rPr>
        <w:t xml:space="preserve">Dual Process Theories </w:t>
      </w:r>
      <w:r w:rsidR="000708F8" w:rsidRPr="008343E1">
        <w:rPr>
          <w:rFonts w:eastAsia="MS Mincho"/>
          <w:sz w:val="24"/>
          <w:szCs w:val="24"/>
          <w:lang w:val="en-US" w:eastAsia="ja-JP"/>
        </w:rPr>
        <w:t xml:space="preserve">of </w:t>
      </w:r>
      <w:r w:rsidR="0057570F" w:rsidRPr="008343E1">
        <w:rPr>
          <w:rFonts w:eastAsia="MS Mincho"/>
          <w:sz w:val="24"/>
          <w:szCs w:val="24"/>
          <w:lang w:val="en-US" w:eastAsia="ja-JP"/>
        </w:rPr>
        <w:t>Reasoning’</w:t>
      </w:r>
      <w:r w:rsidRPr="008343E1">
        <w:rPr>
          <w:rFonts w:eastAsia="MS Mincho"/>
          <w:sz w:val="24"/>
          <w:szCs w:val="24"/>
          <w:lang w:val="en-US" w:eastAsia="ja-JP"/>
        </w:rPr>
        <w:t>,</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Psychonomic Bulletin &amp; Review</w:t>
      </w:r>
      <w:r w:rsidR="000708F8" w:rsidRPr="008343E1">
        <w:rPr>
          <w:rFonts w:eastAsia="MS Mincho"/>
          <w:sz w:val="24"/>
          <w:szCs w:val="24"/>
          <w:lang w:val="en-US" w:eastAsia="ja-JP"/>
        </w:rPr>
        <w:t>, 11, pp. 998–1010.</w:t>
      </w:r>
    </w:p>
    <w:p w:rsidR="000708F8" w:rsidRPr="008343E1" w:rsidRDefault="0026719F"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OSMAN, M. (2013),</w:t>
      </w:r>
      <w:r w:rsidR="000708F8" w:rsidRPr="008343E1">
        <w:rPr>
          <w:rFonts w:eastAsia="MS Mincho"/>
          <w:sz w:val="24"/>
          <w:szCs w:val="24"/>
          <w:lang w:val="en-US" w:eastAsia="ja-JP"/>
        </w:rPr>
        <w:t xml:space="preserve"> </w:t>
      </w:r>
      <w:r w:rsidRPr="008343E1">
        <w:rPr>
          <w:rFonts w:eastAsia="MS Mincho"/>
          <w:sz w:val="24"/>
          <w:szCs w:val="24"/>
          <w:lang w:val="en-US" w:eastAsia="ja-JP"/>
        </w:rPr>
        <w:t>‘</w:t>
      </w:r>
      <w:r w:rsidR="0057570F" w:rsidRPr="008343E1">
        <w:rPr>
          <w:rFonts w:eastAsia="MS Mincho"/>
          <w:sz w:val="24"/>
          <w:szCs w:val="24"/>
          <w:lang w:val="en-US" w:eastAsia="ja-JP"/>
        </w:rPr>
        <w:t>A Case Study</w:t>
      </w:r>
      <w:r w:rsidR="000708F8" w:rsidRPr="008343E1">
        <w:rPr>
          <w:rFonts w:eastAsia="MS Mincho"/>
          <w:sz w:val="24"/>
          <w:szCs w:val="24"/>
          <w:lang w:val="en-US" w:eastAsia="ja-JP"/>
        </w:rPr>
        <w:t>: Dual-Process Theories of Higher Cognition – Commentary on Evans &amp; Stanovich</w:t>
      </w:r>
      <w:r w:rsidRPr="008343E1">
        <w:rPr>
          <w:rFonts w:eastAsia="MS Mincho"/>
          <w:sz w:val="24"/>
          <w:szCs w:val="24"/>
          <w:lang w:val="en-US" w:eastAsia="ja-JP"/>
        </w:rPr>
        <w:t>’</w:t>
      </w:r>
      <w:r w:rsidR="00F94391" w:rsidRPr="008343E1">
        <w:rPr>
          <w:rFonts w:eastAsia="MS Mincho"/>
          <w:sz w:val="24"/>
          <w:szCs w:val="24"/>
          <w:lang w:val="en-US" w:eastAsia="ja-JP"/>
        </w:rPr>
        <w:t xml:space="preserve"> (2013),</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Perspectives on Psychological Science</w:t>
      </w:r>
      <w:r w:rsidR="00A55512" w:rsidRPr="008343E1">
        <w:rPr>
          <w:rFonts w:eastAsia="MS Mincho"/>
          <w:sz w:val="24"/>
          <w:szCs w:val="24"/>
          <w:lang w:val="en-US" w:eastAsia="ja-JP"/>
        </w:rPr>
        <w:t>, 8, p.</w:t>
      </w:r>
      <w:r w:rsidR="000708F8" w:rsidRPr="008343E1">
        <w:rPr>
          <w:rFonts w:eastAsia="MS Mincho"/>
          <w:sz w:val="24"/>
          <w:szCs w:val="24"/>
          <w:lang w:val="en-US" w:eastAsia="ja-JP"/>
        </w:rPr>
        <w:t xml:space="preserve"> 248.</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 xml:space="preserve">PAVLOV, I. </w:t>
      </w:r>
      <w:r w:rsidR="00E01C8D" w:rsidRPr="008343E1">
        <w:rPr>
          <w:sz w:val="24"/>
          <w:szCs w:val="24"/>
        </w:rPr>
        <w:t>P. (1927),</w:t>
      </w:r>
      <w:r w:rsidRPr="008343E1">
        <w:rPr>
          <w:sz w:val="24"/>
          <w:szCs w:val="24"/>
        </w:rPr>
        <w:t xml:space="preserve"> </w:t>
      </w:r>
      <w:r w:rsidR="00E01C8D" w:rsidRPr="008343E1">
        <w:rPr>
          <w:sz w:val="24"/>
          <w:szCs w:val="24"/>
        </w:rPr>
        <w:t>‘</w:t>
      </w:r>
      <w:r w:rsidRPr="008343E1">
        <w:rPr>
          <w:i/>
          <w:sz w:val="24"/>
          <w:szCs w:val="24"/>
        </w:rPr>
        <w:t xml:space="preserve">Conditioned </w:t>
      </w:r>
      <w:r w:rsidR="00830EF1" w:rsidRPr="008343E1">
        <w:rPr>
          <w:i/>
          <w:sz w:val="24"/>
          <w:szCs w:val="24"/>
        </w:rPr>
        <w:t>Reflexes</w:t>
      </w:r>
      <w:r w:rsidRPr="008343E1">
        <w:rPr>
          <w:i/>
          <w:sz w:val="24"/>
          <w:szCs w:val="24"/>
        </w:rPr>
        <w:t xml:space="preserve">: An </w:t>
      </w:r>
      <w:r w:rsidR="00830EF1" w:rsidRPr="008343E1">
        <w:rPr>
          <w:i/>
          <w:sz w:val="24"/>
          <w:szCs w:val="24"/>
        </w:rPr>
        <w:t xml:space="preserve">Investigation </w:t>
      </w:r>
      <w:r w:rsidRPr="008343E1">
        <w:rPr>
          <w:i/>
          <w:sz w:val="24"/>
          <w:szCs w:val="24"/>
        </w:rPr>
        <w:t xml:space="preserve">of the </w:t>
      </w:r>
      <w:r w:rsidR="00830EF1" w:rsidRPr="008343E1">
        <w:rPr>
          <w:i/>
          <w:sz w:val="24"/>
          <w:szCs w:val="24"/>
        </w:rPr>
        <w:t xml:space="preserve">Physiological Activity </w:t>
      </w:r>
      <w:r w:rsidRPr="008343E1">
        <w:rPr>
          <w:i/>
          <w:sz w:val="24"/>
          <w:szCs w:val="24"/>
        </w:rPr>
        <w:t xml:space="preserve">of the </w:t>
      </w:r>
      <w:r w:rsidR="00830EF1" w:rsidRPr="008343E1">
        <w:rPr>
          <w:i/>
          <w:sz w:val="24"/>
          <w:szCs w:val="24"/>
        </w:rPr>
        <w:t>Cerebral Cortex’</w:t>
      </w:r>
      <w:r w:rsidR="00E01C8D" w:rsidRPr="008343E1">
        <w:rPr>
          <w:sz w:val="24"/>
          <w:szCs w:val="24"/>
        </w:rPr>
        <w:t>,</w:t>
      </w:r>
      <w:r w:rsidRPr="008343E1">
        <w:rPr>
          <w:sz w:val="24"/>
          <w:szCs w:val="24"/>
        </w:rPr>
        <w:t xml:space="preserve"> Translated and Edited </w:t>
      </w:r>
      <w:r w:rsidR="00E01C8D" w:rsidRPr="008343E1">
        <w:rPr>
          <w:sz w:val="24"/>
          <w:szCs w:val="24"/>
        </w:rPr>
        <w:t xml:space="preserve">by G. V. Anrep, London, </w:t>
      </w:r>
      <w:r w:rsidRPr="008343E1">
        <w:rPr>
          <w:sz w:val="24"/>
          <w:szCs w:val="24"/>
        </w:rPr>
        <w:t>Oxford University Press</w:t>
      </w:r>
      <w:r w:rsidR="00E72D2F" w:rsidRPr="008343E1">
        <w:rPr>
          <w:sz w:val="24"/>
          <w:szCs w:val="24"/>
        </w:rPr>
        <w:t>.</w:t>
      </w:r>
    </w:p>
    <w:p w:rsidR="000708F8" w:rsidRPr="008343E1" w:rsidRDefault="008531B6" w:rsidP="000708F8">
      <w:pPr>
        <w:pStyle w:val="Kleurrijkelijst-accent11"/>
        <w:numPr>
          <w:ilvl w:val="0"/>
          <w:numId w:val="35"/>
        </w:numPr>
        <w:spacing w:before="60" w:after="60"/>
        <w:jc w:val="both"/>
        <w:rPr>
          <w:sz w:val="24"/>
          <w:szCs w:val="24"/>
        </w:rPr>
      </w:pPr>
      <w:r w:rsidRPr="008343E1">
        <w:rPr>
          <w:sz w:val="24"/>
          <w:szCs w:val="24"/>
        </w:rPr>
        <w:t>PERRY, J. (2001),</w:t>
      </w:r>
      <w:r w:rsidR="000708F8" w:rsidRPr="008343E1">
        <w:rPr>
          <w:sz w:val="24"/>
          <w:szCs w:val="24"/>
        </w:rPr>
        <w:t xml:space="preserve"> </w:t>
      </w:r>
      <w:r w:rsidR="000708F8" w:rsidRPr="008343E1">
        <w:rPr>
          <w:i/>
          <w:sz w:val="24"/>
          <w:szCs w:val="24"/>
        </w:rPr>
        <w:t>Knowledge, Possibility, and Consciousness</w:t>
      </w:r>
      <w:r w:rsidRPr="008343E1">
        <w:rPr>
          <w:sz w:val="24"/>
          <w:szCs w:val="24"/>
        </w:rPr>
        <w:t>, Cambridge, MA,</w:t>
      </w:r>
      <w:r w:rsidR="000708F8" w:rsidRPr="008343E1">
        <w:rPr>
          <w:sz w:val="24"/>
          <w:szCs w:val="24"/>
        </w:rPr>
        <w:t xml:space="preserve"> MIT Press.</w:t>
      </w:r>
    </w:p>
    <w:p w:rsidR="000708F8" w:rsidRPr="008343E1" w:rsidRDefault="000708F8" w:rsidP="000708F8">
      <w:pPr>
        <w:pStyle w:val="ListParagraph"/>
        <w:numPr>
          <w:ilvl w:val="0"/>
          <w:numId w:val="35"/>
        </w:numPr>
        <w:spacing w:before="60" w:after="60" w:line="276" w:lineRule="auto"/>
        <w:rPr>
          <w:rFonts w:ascii="Calibri" w:hAnsi="Calibri"/>
          <w:b/>
          <w:i/>
          <w:u w:val="single"/>
          <w:lang w:val="en-GB"/>
        </w:rPr>
      </w:pPr>
      <w:r w:rsidRPr="008343E1">
        <w:rPr>
          <w:rFonts w:ascii="Calibri" w:hAnsi="Calibri"/>
        </w:rPr>
        <w:t>POCK</w:t>
      </w:r>
      <w:r w:rsidR="004C5121" w:rsidRPr="008343E1">
        <w:rPr>
          <w:rFonts w:ascii="Calibri" w:hAnsi="Calibri"/>
        </w:rPr>
        <w:t>ETT, S., and FIGUROV, A. (1993),</w:t>
      </w:r>
      <w:r w:rsidRPr="008343E1">
        <w:rPr>
          <w:rFonts w:ascii="Calibri" w:hAnsi="Calibri"/>
        </w:rPr>
        <w:t xml:space="preserve"> </w:t>
      </w:r>
      <w:r w:rsidR="004C5121" w:rsidRPr="008343E1">
        <w:rPr>
          <w:rFonts w:ascii="Calibri" w:hAnsi="Calibri"/>
        </w:rPr>
        <w:t>‘</w:t>
      </w:r>
      <w:r w:rsidRPr="008343E1">
        <w:rPr>
          <w:rFonts w:ascii="Calibri" w:hAnsi="Calibri"/>
        </w:rPr>
        <w:t>Long-Term Potentiation and Depression of the Ventral H</w:t>
      </w:r>
      <w:r w:rsidR="004C5121" w:rsidRPr="008343E1">
        <w:rPr>
          <w:rFonts w:ascii="Calibri" w:hAnsi="Calibri"/>
        </w:rPr>
        <w:t>orn of Rat Spinal Cord in Vitro’,</w:t>
      </w:r>
      <w:r w:rsidRPr="008343E1">
        <w:rPr>
          <w:rFonts w:ascii="Calibri" w:hAnsi="Calibri"/>
        </w:rPr>
        <w:t xml:space="preserve"> </w:t>
      </w:r>
      <w:r w:rsidRPr="008343E1">
        <w:rPr>
          <w:rFonts w:ascii="Calibri" w:hAnsi="Calibri"/>
          <w:i/>
        </w:rPr>
        <w:t>NeuroReport</w:t>
      </w:r>
      <w:r w:rsidRPr="008343E1">
        <w:rPr>
          <w:rFonts w:ascii="Calibri" w:hAnsi="Calibri"/>
        </w:rPr>
        <w:t>,</w:t>
      </w:r>
      <w:r w:rsidRPr="008343E1">
        <w:rPr>
          <w:rFonts w:ascii="Calibri" w:hAnsi="Calibri"/>
          <w:i/>
        </w:rPr>
        <w:t xml:space="preserve"> </w:t>
      </w:r>
      <w:r w:rsidR="004C5121" w:rsidRPr="008343E1">
        <w:rPr>
          <w:rFonts w:ascii="Calibri" w:hAnsi="Calibri"/>
        </w:rPr>
        <w:t>4, pp. 97-</w:t>
      </w:r>
      <w:r w:rsidRPr="008343E1">
        <w:rPr>
          <w:rFonts w:ascii="Calibri" w:hAnsi="Calibri"/>
        </w:rPr>
        <w:t>9.</w:t>
      </w:r>
      <w:r w:rsidRPr="008343E1">
        <w:rPr>
          <w:rFonts w:ascii="Calibri" w:hAnsi="Calibri"/>
          <w:b/>
          <w:i/>
          <w:u w:val="single"/>
          <w:lang w:val="en-GB" w:eastAsia="en-GB"/>
        </w:rPr>
        <w:t xml:space="preserve"> </w:t>
      </w:r>
    </w:p>
    <w:p w:rsidR="000708F8" w:rsidRPr="008343E1" w:rsidRDefault="00CA1A04"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POSNER, M. (1978),</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 xml:space="preserve">Chronometric </w:t>
      </w:r>
      <w:r w:rsidR="00830EF1" w:rsidRPr="008343E1">
        <w:rPr>
          <w:rFonts w:eastAsia="MS Mincho"/>
          <w:i/>
          <w:sz w:val="24"/>
          <w:szCs w:val="24"/>
          <w:lang w:val="en-US" w:eastAsia="ja-JP"/>
        </w:rPr>
        <w:t xml:space="preserve">Exploration </w:t>
      </w:r>
      <w:r w:rsidR="000708F8" w:rsidRPr="008343E1">
        <w:rPr>
          <w:rFonts w:eastAsia="MS Mincho"/>
          <w:i/>
          <w:sz w:val="24"/>
          <w:szCs w:val="24"/>
          <w:lang w:val="en-US" w:eastAsia="ja-JP"/>
        </w:rPr>
        <w:t xml:space="preserve">of </w:t>
      </w:r>
      <w:r w:rsidR="00830EF1" w:rsidRPr="008343E1">
        <w:rPr>
          <w:rFonts w:eastAsia="MS Mincho"/>
          <w:i/>
          <w:sz w:val="24"/>
          <w:szCs w:val="24"/>
          <w:lang w:val="en-US" w:eastAsia="ja-JP"/>
        </w:rPr>
        <w:t>Mind</w:t>
      </w:r>
      <w:r w:rsidRPr="008343E1">
        <w:rPr>
          <w:rFonts w:eastAsia="MS Mincho"/>
          <w:sz w:val="24"/>
          <w:szCs w:val="24"/>
          <w:lang w:val="en-US" w:eastAsia="ja-JP"/>
        </w:rPr>
        <w:t>, Hillsdale, NJ,</w:t>
      </w:r>
      <w:r w:rsidR="000708F8" w:rsidRPr="008343E1">
        <w:rPr>
          <w:rFonts w:eastAsia="MS Mincho"/>
          <w:sz w:val="24"/>
          <w:szCs w:val="24"/>
          <w:lang w:val="en-US" w:eastAsia="ja-JP"/>
        </w:rPr>
        <w:t xml:space="preserve"> Erlbaum.</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PRINZ, J. (2002)</w:t>
      </w:r>
      <w:r w:rsidR="00B64ADE" w:rsidRPr="008343E1">
        <w:rPr>
          <w:rFonts w:ascii="Calibri" w:hAnsi="Calibri"/>
        </w:rPr>
        <w:t>,</w:t>
      </w:r>
      <w:r w:rsidRPr="008343E1">
        <w:rPr>
          <w:rFonts w:ascii="Calibri" w:hAnsi="Calibri"/>
        </w:rPr>
        <w:t xml:space="preserve"> </w:t>
      </w:r>
      <w:r w:rsidRPr="008343E1">
        <w:rPr>
          <w:rStyle w:val="Emphasis"/>
          <w:rFonts w:ascii="Calibri" w:hAnsi="Calibri"/>
        </w:rPr>
        <w:t>Furnishing the Mind: Concepts and Their Perceptual Basis</w:t>
      </w:r>
      <w:r w:rsidR="00B64ADE" w:rsidRPr="008343E1">
        <w:rPr>
          <w:rFonts w:ascii="Calibri" w:hAnsi="Calibri"/>
        </w:rPr>
        <w:t>, Cambridge, MA,</w:t>
      </w:r>
      <w:r w:rsidRPr="008343E1">
        <w:rPr>
          <w:rFonts w:ascii="Calibri" w:hAnsi="Calibri"/>
        </w:rPr>
        <w:t xml:space="preserve"> MIT Press.</w:t>
      </w:r>
    </w:p>
    <w:p w:rsidR="000708F8" w:rsidRPr="008343E1" w:rsidRDefault="0096782D" w:rsidP="000708F8">
      <w:pPr>
        <w:pStyle w:val="Kleurrijkelijst-accent11"/>
        <w:numPr>
          <w:ilvl w:val="0"/>
          <w:numId w:val="35"/>
        </w:numPr>
        <w:spacing w:after="0" w:line="240" w:lineRule="auto"/>
        <w:rPr>
          <w:sz w:val="24"/>
          <w:szCs w:val="24"/>
        </w:rPr>
      </w:pPr>
      <w:r w:rsidRPr="008343E1">
        <w:rPr>
          <w:sz w:val="24"/>
          <w:szCs w:val="24"/>
        </w:rPr>
        <w:t>PRINZ, J. (2005),</w:t>
      </w:r>
      <w:r w:rsidR="000708F8" w:rsidRPr="008343E1">
        <w:rPr>
          <w:sz w:val="24"/>
          <w:szCs w:val="24"/>
        </w:rPr>
        <w:t xml:space="preserve"> </w:t>
      </w:r>
      <w:r w:rsidRPr="008343E1">
        <w:rPr>
          <w:sz w:val="24"/>
          <w:szCs w:val="24"/>
        </w:rPr>
        <w:t>‘</w:t>
      </w:r>
      <w:r w:rsidR="000708F8" w:rsidRPr="008343E1">
        <w:rPr>
          <w:sz w:val="24"/>
          <w:szCs w:val="24"/>
        </w:rPr>
        <w:t xml:space="preserve">Are </w:t>
      </w:r>
      <w:r w:rsidR="00830EF1" w:rsidRPr="008343E1">
        <w:rPr>
          <w:sz w:val="24"/>
          <w:szCs w:val="24"/>
        </w:rPr>
        <w:t>Emotions Feelings</w:t>
      </w:r>
      <w:r w:rsidR="000708F8" w:rsidRPr="008343E1">
        <w:rPr>
          <w:sz w:val="24"/>
          <w:szCs w:val="24"/>
        </w:rPr>
        <w:t>?</w:t>
      </w:r>
      <w:proofErr w:type="gramStart"/>
      <w:r w:rsidRPr="008343E1">
        <w:rPr>
          <w:sz w:val="24"/>
          <w:szCs w:val="24"/>
        </w:rPr>
        <w:t>’,</w:t>
      </w:r>
      <w:proofErr w:type="gramEnd"/>
      <w:r w:rsidR="000708F8" w:rsidRPr="008343E1">
        <w:rPr>
          <w:sz w:val="24"/>
          <w:szCs w:val="24"/>
        </w:rPr>
        <w:t xml:space="preserve"> </w:t>
      </w:r>
      <w:r w:rsidR="000708F8" w:rsidRPr="008343E1">
        <w:rPr>
          <w:i/>
          <w:sz w:val="24"/>
          <w:szCs w:val="24"/>
        </w:rPr>
        <w:t>Journal of Consciousness Studies</w:t>
      </w:r>
      <w:r w:rsidRPr="008343E1">
        <w:rPr>
          <w:sz w:val="24"/>
          <w:szCs w:val="24"/>
        </w:rPr>
        <w:t>, 12, 8-10, pp. 9-</w:t>
      </w:r>
      <w:r w:rsidR="000708F8" w:rsidRPr="008343E1">
        <w:rPr>
          <w:sz w:val="24"/>
          <w:szCs w:val="24"/>
        </w:rPr>
        <w:t>25.</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RACINE, R. J., MILGRAM</w:t>
      </w:r>
      <w:r w:rsidR="00D30B12" w:rsidRPr="008343E1">
        <w:rPr>
          <w:rFonts w:ascii="Calibri" w:hAnsi="Calibri"/>
        </w:rPr>
        <w:t>, M. W., and HAFNER, S. (1983),</w:t>
      </w:r>
      <w:r w:rsidRPr="008343E1">
        <w:rPr>
          <w:rFonts w:ascii="Calibri" w:hAnsi="Calibri"/>
        </w:rPr>
        <w:t xml:space="preserve"> </w:t>
      </w:r>
      <w:r w:rsidR="00D30B12" w:rsidRPr="008343E1">
        <w:rPr>
          <w:rFonts w:ascii="Calibri" w:hAnsi="Calibri"/>
        </w:rPr>
        <w:t>‘</w:t>
      </w:r>
      <w:r w:rsidRPr="008343E1">
        <w:rPr>
          <w:rFonts w:ascii="Calibri" w:hAnsi="Calibri"/>
        </w:rPr>
        <w:t>Long-Term Potentiation i</w:t>
      </w:r>
      <w:r w:rsidR="00D30B12" w:rsidRPr="008343E1">
        <w:rPr>
          <w:rFonts w:ascii="Calibri" w:hAnsi="Calibri"/>
        </w:rPr>
        <w:t>n the Rat Limbic Forebrain’,</w:t>
      </w:r>
      <w:r w:rsidRPr="008343E1">
        <w:rPr>
          <w:rFonts w:ascii="Calibri" w:hAnsi="Calibri"/>
        </w:rPr>
        <w:t xml:space="preserve"> </w:t>
      </w:r>
      <w:r w:rsidRPr="008343E1">
        <w:rPr>
          <w:rFonts w:ascii="Calibri" w:hAnsi="Calibri"/>
          <w:i/>
        </w:rPr>
        <w:t>Brain Research</w:t>
      </w:r>
      <w:r w:rsidRPr="008343E1">
        <w:rPr>
          <w:rFonts w:ascii="Calibri" w:hAnsi="Calibri"/>
        </w:rPr>
        <w:t>,</w:t>
      </w:r>
      <w:r w:rsidRPr="008343E1">
        <w:rPr>
          <w:rFonts w:ascii="Calibri" w:hAnsi="Calibri"/>
          <w:i/>
        </w:rPr>
        <w:t xml:space="preserve"> </w:t>
      </w:r>
      <w:r w:rsidRPr="008343E1">
        <w:rPr>
          <w:rFonts w:ascii="Calibri" w:hAnsi="Calibri"/>
        </w:rPr>
        <w:t>260, pp. 217–31.</w:t>
      </w:r>
    </w:p>
    <w:p w:rsidR="000708F8" w:rsidRPr="008343E1" w:rsidRDefault="000708F8" w:rsidP="000708F8">
      <w:pPr>
        <w:pStyle w:val="ListParagraph"/>
        <w:numPr>
          <w:ilvl w:val="0"/>
          <w:numId w:val="35"/>
        </w:numPr>
        <w:rPr>
          <w:rFonts w:ascii="Calibri" w:hAnsi="Calibri" w:cs="Helvetica Neue"/>
          <w:color w:val="262626"/>
        </w:rPr>
      </w:pPr>
      <w:r w:rsidRPr="008343E1">
        <w:rPr>
          <w:rFonts w:ascii="Calibri" w:hAnsi="Calibri" w:cs="Helvetica Neue"/>
          <w:color w:val="262626"/>
        </w:rPr>
        <w:t>RAO R</w:t>
      </w:r>
      <w:r w:rsidR="00047DF1" w:rsidRPr="008343E1">
        <w:rPr>
          <w:rFonts w:ascii="Calibri" w:hAnsi="Calibri" w:cs="Helvetica Neue"/>
          <w:color w:val="262626"/>
        </w:rPr>
        <w:t>.P.N., and BALLARD D.H. (1999), ‘</w:t>
      </w:r>
      <w:r w:rsidRPr="008343E1">
        <w:rPr>
          <w:rFonts w:ascii="Calibri" w:hAnsi="Calibri" w:cs="Helvetica Neue"/>
          <w:color w:val="262626"/>
        </w:rPr>
        <w:t xml:space="preserve">Predictive </w:t>
      </w:r>
      <w:r w:rsidR="00A03166" w:rsidRPr="008343E1">
        <w:rPr>
          <w:rFonts w:ascii="Calibri" w:hAnsi="Calibri" w:cs="Helvetica Neue"/>
          <w:color w:val="262626"/>
        </w:rPr>
        <w:t xml:space="preserve">Coding </w:t>
      </w:r>
      <w:r w:rsidRPr="008343E1">
        <w:rPr>
          <w:rFonts w:ascii="Calibri" w:hAnsi="Calibri" w:cs="Helvetica Neue"/>
          <w:color w:val="262626"/>
        </w:rPr>
        <w:t xml:space="preserve">in the </w:t>
      </w:r>
      <w:r w:rsidR="00A03166" w:rsidRPr="008343E1">
        <w:rPr>
          <w:rFonts w:ascii="Calibri" w:hAnsi="Calibri" w:cs="Helvetica Neue"/>
          <w:color w:val="262626"/>
        </w:rPr>
        <w:t>Visual Cortex</w:t>
      </w:r>
      <w:r w:rsidRPr="008343E1">
        <w:rPr>
          <w:rFonts w:ascii="Calibri" w:hAnsi="Calibri" w:cs="Helvetica Neue"/>
          <w:color w:val="262626"/>
        </w:rPr>
        <w:t xml:space="preserve">: a </w:t>
      </w:r>
      <w:r w:rsidR="00A03166" w:rsidRPr="008343E1">
        <w:rPr>
          <w:rFonts w:ascii="Calibri" w:hAnsi="Calibri" w:cs="Helvetica Neue"/>
          <w:color w:val="262626"/>
        </w:rPr>
        <w:t xml:space="preserve">Functional Interpretation </w:t>
      </w:r>
      <w:r w:rsidRPr="008343E1">
        <w:rPr>
          <w:rFonts w:ascii="Calibri" w:hAnsi="Calibri" w:cs="Helvetica Neue"/>
          <w:color w:val="262626"/>
        </w:rPr>
        <w:t xml:space="preserve">of </w:t>
      </w:r>
      <w:r w:rsidR="00A03166" w:rsidRPr="008343E1">
        <w:rPr>
          <w:rFonts w:ascii="Calibri" w:hAnsi="Calibri" w:cs="Helvetica Neue"/>
          <w:color w:val="262626"/>
        </w:rPr>
        <w:t>Some Extraclassical Receptive-Field Effects</w:t>
      </w:r>
      <w:r w:rsidR="004E1DCB" w:rsidRPr="008343E1">
        <w:rPr>
          <w:rFonts w:ascii="Calibri" w:hAnsi="Calibri" w:cs="Helvetica Neue"/>
          <w:color w:val="262626"/>
        </w:rPr>
        <w:t>,</w:t>
      </w:r>
      <w:r w:rsidRPr="008343E1">
        <w:rPr>
          <w:rFonts w:ascii="Calibri" w:hAnsi="Calibri" w:cs="Helvetica Neue"/>
          <w:color w:val="262626"/>
        </w:rPr>
        <w:t xml:space="preserve"> </w:t>
      </w:r>
      <w:r w:rsidRPr="008343E1">
        <w:rPr>
          <w:rFonts w:ascii="Calibri" w:hAnsi="Calibri" w:cs="Helvetica Neue"/>
          <w:i/>
          <w:color w:val="262626"/>
        </w:rPr>
        <w:t>Nature Neuroscience</w:t>
      </w:r>
      <w:r w:rsidR="004E1DCB" w:rsidRPr="008343E1">
        <w:rPr>
          <w:rFonts w:ascii="Calibri" w:hAnsi="Calibri" w:cs="Helvetica Neue"/>
          <w:color w:val="262626"/>
        </w:rPr>
        <w:t>. 2, pp. 79-</w:t>
      </w:r>
      <w:r w:rsidRPr="008343E1">
        <w:rPr>
          <w:rFonts w:ascii="Calibri" w:hAnsi="Calibri" w:cs="Helvetica Neue"/>
          <w:color w:val="262626"/>
        </w:rPr>
        <w:t>87.</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ROBERTS, M.</w:t>
      </w:r>
      <w:r w:rsidR="00766D94" w:rsidRPr="008343E1">
        <w:rPr>
          <w:rFonts w:eastAsia="MS Mincho"/>
          <w:sz w:val="24"/>
          <w:szCs w:val="24"/>
          <w:lang w:val="en-US" w:eastAsia="ja-JP"/>
        </w:rPr>
        <w:t xml:space="preserve"> J., &amp; NEWTON, E. J. (2001),</w:t>
      </w:r>
      <w:r w:rsidRPr="008343E1">
        <w:rPr>
          <w:rFonts w:eastAsia="MS Mincho"/>
          <w:sz w:val="24"/>
          <w:szCs w:val="24"/>
          <w:lang w:val="en-US" w:eastAsia="ja-JP"/>
        </w:rPr>
        <w:t xml:space="preserve"> </w:t>
      </w:r>
      <w:r w:rsidR="00766D94" w:rsidRPr="008343E1">
        <w:rPr>
          <w:rFonts w:eastAsia="MS Mincho"/>
          <w:sz w:val="24"/>
          <w:szCs w:val="24"/>
          <w:lang w:val="en-US" w:eastAsia="ja-JP"/>
        </w:rPr>
        <w:t>‘</w:t>
      </w:r>
      <w:r w:rsidRPr="008343E1">
        <w:rPr>
          <w:rFonts w:eastAsia="MS Mincho"/>
          <w:sz w:val="24"/>
          <w:szCs w:val="24"/>
          <w:lang w:val="en-US" w:eastAsia="ja-JP"/>
        </w:rPr>
        <w:t xml:space="preserve">Inspection </w:t>
      </w:r>
      <w:r w:rsidR="00A03166" w:rsidRPr="008343E1">
        <w:rPr>
          <w:rFonts w:eastAsia="MS Mincho"/>
          <w:sz w:val="24"/>
          <w:szCs w:val="24"/>
          <w:lang w:val="en-US" w:eastAsia="ja-JP"/>
        </w:rPr>
        <w:t>Times</w:t>
      </w:r>
      <w:r w:rsidRPr="008343E1">
        <w:rPr>
          <w:rFonts w:eastAsia="MS Mincho"/>
          <w:sz w:val="24"/>
          <w:szCs w:val="24"/>
          <w:lang w:val="en-US" w:eastAsia="ja-JP"/>
        </w:rPr>
        <w:t xml:space="preserve">, the </w:t>
      </w:r>
      <w:r w:rsidR="00A03166" w:rsidRPr="008343E1">
        <w:rPr>
          <w:rFonts w:eastAsia="MS Mincho"/>
          <w:sz w:val="24"/>
          <w:szCs w:val="24"/>
          <w:lang w:val="en-US" w:eastAsia="ja-JP"/>
        </w:rPr>
        <w:t>Change Task</w:t>
      </w:r>
      <w:r w:rsidRPr="008343E1">
        <w:rPr>
          <w:rFonts w:eastAsia="MS Mincho"/>
          <w:sz w:val="24"/>
          <w:szCs w:val="24"/>
          <w:lang w:val="en-US" w:eastAsia="ja-JP"/>
        </w:rPr>
        <w:t xml:space="preserve">, and the </w:t>
      </w:r>
      <w:r w:rsidR="00A03166" w:rsidRPr="008343E1">
        <w:rPr>
          <w:rFonts w:eastAsia="MS Mincho"/>
          <w:sz w:val="24"/>
          <w:szCs w:val="24"/>
          <w:lang w:val="en-US" w:eastAsia="ja-JP"/>
        </w:rPr>
        <w:t>Rapid</w:t>
      </w:r>
      <w:r w:rsidRPr="008343E1">
        <w:rPr>
          <w:rFonts w:eastAsia="MS Mincho"/>
          <w:sz w:val="24"/>
          <w:szCs w:val="24"/>
          <w:lang w:val="en-US" w:eastAsia="ja-JP"/>
        </w:rPr>
        <w:t>-</w:t>
      </w:r>
      <w:r w:rsidR="00A03166" w:rsidRPr="008343E1">
        <w:rPr>
          <w:rFonts w:eastAsia="MS Mincho"/>
          <w:sz w:val="24"/>
          <w:szCs w:val="24"/>
          <w:lang w:val="en-US" w:eastAsia="ja-JP"/>
        </w:rPr>
        <w:t>Response Selection Task’</w:t>
      </w:r>
      <w:r w:rsidR="00766D94" w:rsidRPr="008343E1">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Quarterly Journal of Experimental Psychology</w:t>
      </w:r>
      <w:r w:rsidR="00766D94" w:rsidRPr="008343E1">
        <w:rPr>
          <w:rFonts w:eastAsia="MS Mincho"/>
          <w:sz w:val="24"/>
          <w:szCs w:val="24"/>
          <w:lang w:val="en-US" w:eastAsia="ja-JP"/>
        </w:rPr>
        <w:t>, 54A, pp. 1031-</w:t>
      </w:r>
      <w:r w:rsidRPr="008343E1">
        <w:rPr>
          <w:rFonts w:eastAsia="MS Mincho"/>
          <w:sz w:val="24"/>
          <w:szCs w:val="24"/>
          <w:lang w:val="en-US" w:eastAsia="ja-JP"/>
        </w:rPr>
        <w:t>48.</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lang w:val="de-DE"/>
        </w:rPr>
        <w:t>Sá, W</w:t>
      </w:r>
      <w:proofErr w:type="gramStart"/>
      <w:r w:rsidRPr="008343E1">
        <w:rPr>
          <w:sz w:val="24"/>
          <w:szCs w:val="24"/>
          <w:lang w:val="de-DE"/>
        </w:rPr>
        <w:t>. C.,</w:t>
      </w:r>
      <w:proofErr w:type="gramEnd"/>
      <w:r w:rsidRPr="008343E1">
        <w:rPr>
          <w:sz w:val="24"/>
          <w:szCs w:val="24"/>
          <w:lang w:val="de-DE"/>
        </w:rPr>
        <w:t xml:space="preserve"> WEST, R</w:t>
      </w:r>
      <w:r w:rsidR="003B4A07" w:rsidRPr="008343E1">
        <w:rPr>
          <w:sz w:val="24"/>
          <w:szCs w:val="24"/>
          <w:lang w:val="de-DE"/>
        </w:rPr>
        <w:t>. F., &amp; STANOVICH, K. E. (1999),</w:t>
      </w:r>
      <w:r w:rsidRPr="008343E1">
        <w:rPr>
          <w:sz w:val="24"/>
          <w:szCs w:val="24"/>
          <w:lang w:val="de-DE"/>
        </w:rPr>
        <w:t xml:space="preserve"> </w:t>
      </w:r>
      <w:r w:rsidR="00A03166" w:rsidRPr="008343E1">
        <w:rPr>
          <w:sz w:val="24"/>
          <w:szCs w:val="24"/>
        </w:rPr>
        <w:t xml:space="preserve">‘The Domain Specificity </w:t>
      </w:r>
      <w:r w:rsidRPr="008343E1">
        <w:rPr>
          <w:sz w:val="24"/>
          <w:szCs w:val="24"/>
        </w:rPr>
        <w:t xml:space="preserve">and </w:t>
      </w:r>
      <w:r w:rsidR="00A03166" w:rsidRPr="008343E1">
        <w:rPr>
          <w:sz w:val="24"/>
          <w:szCs w:val="24"/>
        </w:rPr>
        <w:t xml:space="preserve">Generality </w:t>
      </w:r>
      <w:r w:rsidRPr="008343E1">
        <w:rPr>
          <w:sz w:val="24"/>
          <w:szCs w:val="24"/>
        </w:rPr>
        <w:t xml:space="preserve">of </w:t>
      </w:r>
      <w:r w:rsidR="00A03166" w:rsidRPr="008343E1">
        <w:rPr>
          <w:sz w:val="24"/>
          <w:szCs w:val="24"/>
        </w:rPr>
        <w:t>Belief Bias</w:t>
      </w:r>
      <w:r w:rsidRPr="008343E1">
        <w:rPr>
          <w:sz w:val="24"/>
          <w:szCs w:val="24"/>
        </w:rPr>
        <w:t xml:space="preserve">: Searching for a </w:t>
      </w:r>
      <w:r w:rsidR="00A03166" w:rsidRPr="008343E1">
        <w:rPr>
          <w:sz w:val="24"/>
          <w:szCs w:val="24"/>
        </w:rPr>
        <w:t>Generalizable Critical Thinking Skill’</w:t>
      </w:r>
      <w:r w:rsidR="003B4A07" w:rsidRPr="008343E1">
        <w:rPr>
          <w:sz w:val="24"/>
          <w:szCs w:val="24"/>
        </w:rPr>
        <w:t>,</w:t>
      </w:r>
      <w:r w:rsidRPr="008343E1">
        <w:rPr>
          <w:sz w:val="24"/>
          <w:szCs w:val="24"/>
        </w:rPr>
        <w:t xml:space="preserve"> </w:t>
      </w:r>
      <w:r w:rsidRPr="008343E1">
        <w:rPr>
          <w:i/>
          <w:iCs/>
          <w:sz w:val="24"/>
          <w:szCs w:val="24"/>
        </w:rPr>
        <w:t>Journal of Educational Psychology</w:t>
      </w:r>
      <w:r w:rsidRPr="008343E1">
        <w:rPr>
          <w:sz w:val="24"/>
          <w:szCs w:val="24"/>
        </w:rPr>
        <w:t xml:space="preserve">, </w:t>
      </w:r>
      <w:r w:rsidRPr="008343E1">
        <w:rPr>
          <w:i/>
          <w:iCs/>
          <w:sz w:val="24"/>
          <w:szCs w:val="24"/>
        </w:rPr>
        <w:t>91</w:t>
      </w:r>
      <w:r w:rsidRPr="008343E1">
        <w:rPr>
          <w:sz w:val="24"/>
          <w:szCs w:val="24"/>
        </w:rPr>
        <w:t xml:space="preserve">, </w:t>
      </w:r>
      <w:r w:rsidR="003B4A07" w:rsidRPr="008343E1">
        <w:rPr>
          <w:sz w:val="24"/>
          <w:szCs w:val="24"/>
        </w:rPr>
        <w:t xml:space="preserve">pp. </w:t>
      </w:r>
      <w:r w:rsidRPr="008343E1">
        <w:rPr>
          <w:sz w:val="24"/>
          <w:szCs w:val="24"/>
        </w:rPr>
        <w:t>497-510.</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rPr>
        <w:t>SCOTT, T</w:t>
      </w:r>
      <w:r w:rsidR="007D4E85" w:rsidRPr="008343E1">
        <w:rPr>
          <w:rFonts w:ascii="Calibri" w:hAnsi="Calibri"/>
        </w:rPr>
        <w:t>. R., and BENNETT, M. R. (1993),</w:t>
      </w:r>
      <w:r w:rsidRPr="008343E1">
        <w:rPr>
          <w:rFonts w:ascii="Calibri" w:hAnsi="Calibri"/>
        </w:rPr>
        <w:t xml:space="preserve"> </w:t>
      </w:r>
      <w:r w:rsidR="007D4E85" w:rsidRPr="008343E1">
        <w:rPr>
          <w:rFonts w:ascii="Calibri" w:hAnsi="Calibri"/>
        </w:rPr>
        <w:t>‘</w:t>
      </w:r>
      <w:r w:rsidRPr="008343E1">
        <w:rPr>
          <w:rFonts w:ascii="Calibri" w:hAnsi="Calibri"/>
        </w:rPr>
        <w:t>The Effect of Ions and Second Messengers on Long-Term Potentiation of Chemical Transmission in Avianciliary Ganglia</w:t>
      </w:r>
      <w:r w:rsidR="007D4E85" w:rsidRPr="008343E1">
        <w:rPr>
          <w:rFonts w:ascii="Calibri" w:hAnsi="Calibri"/>
        </w:rPr>
        <w:t>’,</w:t>
      </w:r>
      <w:r w:rsidRPr="008343E1">
        <w:rPr>
          <w:rFonts w:ascii="Calibri" w:hAnsi="Calibri"/>
        </w:rPr>
        <w:t xml:space="preserve"> </w:t>
      </w:r>
      <w:r w:rsidRPr="008343E1">
        <w:rPr>
          <w:rFonts w:ascii="Calibri" w:hAnsi="Calibri"/>
          <w:i/>
        </w:rPr>
        <w:t>British Journal of Pharmacology</w:t>
      </w:r>
      <w:r w:rsidRPr="008343E1">
        <w:rPr>
          <w:rFonts w:ascii="Calibri" w:hAnsi="Calibri"/>
        </w:rPr>
        <w:t>,</w:t>
      </w:r>
      <w:r w:rsidRPr="008343E1">
        <w:rPr>
          <w:rFonts w:ascii="Calibri" w:hAnsi="Calibri"/>
          <w:i/>
        </w:rPr>
        <w:t xml:space="preserve"> </w:t>
      </w:r>
      <w:r w:rsidR="007D4E85" w:rsidRPr="008343E1">
        <w:rPr>
          <w:rFonts w:ascii="Calibri" w:hAnsi="Calibri"/>
        </w:rPr>
        <w:t>110, pp. 461-</w:t>
      </w:r>
      <w:r w:rsidRPr="008343E1">
        <w:rPr>
          <w:rFonts w:ascii="Calibri" w:hAnsi="Calibri"/>
        </w:rPr>
        <w:t>9.</w:t>
      </w:r>
    </w:p>
    <w:p w:rsidR="000708F8" w:rsidRPr="008343E1" w:rsidRDefault="000708F8" w:rsidP="000708F8">
      <w:pPr>
        <w:pStyle w:val="ListParagraph"/>
        <w:numPr>
          <w:ilvl w:val="0"/>
          <w:numId w:val="35"/>
        </w:numPr>
        <w:spacing w:before="60" w:after="60" w:line="276" w:lineRule="auto"/>
        <w:rPr>
          <w:rFonts w:ascii="Calibri" w:hAnsi="Calibri"/>
        </w:rPr>
      </w:pPr>
      <w:r w:rsidRPr="008343E1">
        <w:rPr>
          <w:rFonts w:ascii="Calibri" w:hAnsi="Calibri"/>
          <w:bCs/>
        </w:rPr>
        <w:t xml:space="preserve">SHORS, T. J., MATZEL, L.D. </w:t>
      </w:r>
      <w:r w:rsidR="004269ED" w:rsidRPr="008343E1">
        <w:rPr>
          <w:rFonts w:ascii="Calibri" w:hAnsi="Calibri"/>
        </w:rPr>
        <w:t>(1997),</w:t>
      </w:r>
      <w:r w:rsidRPr="008343E1">
        <w:rPr>
          <w:rFonts w:ascii="Calibri" w:hAnsi="Calibri"/>
        </w:rPr>
        <w:t xml:space="preserve"> </w:t>
      </w:r>
      <w:r w:rsidR="004269ED" w:rsidRPr="008343E1">
        <w:rPr>
          <w:rFonts w:ascii="Calibri" w:hAnsi="Calibri"/>
        </w:rPr>
        <w:t>‘</w:t>
      </w:r>
      <w:r w:rsidRPr="008343E1">
        <w:rPr>
          <w:rFonts w:ascii="Calibri" w:hAnsi="Calibri"/>
        </w:rPr>
        <w:t>Long-term Potentiation: What’s Learning got to do with it?</w:t>
      </w:r>
      <w:proofErr w:type="gramStart"/>
      <w:r w:rsidR="004269ED" w:rsidRPr="008343E1">
        <w:rPr>
          <w:rFonts w:ascii="Calibri" w:hAnsi="Calibri"/>
        </w:rPr>
        <w:t>’,</w:t>
      </w:r>
      <w:proofErr w:type="gramEnd"/>
      <w:r w:rsidRPr="008343E1">
        <w:rPr>
          <w:rFonts w:ascii="Calibri" w:hAnsi="Calibri"/>
        </w:rPr>
        <w:t xml:space="preserve"> </w:t>
      </w:r>
      <w:r w:rsidRPr="008343E1">
        <w:rPr>
          <w:rFonts w:ascii="Calibri" w:hAnsi="Calibri"/>
          <w:i/>
        </w:rPr>
        <w:t xml:space="preserve">Behavioral and Brain Sciences </w:t>
      </w:r>
      <w:r w:rsidR="004269ED" w:rsidRPr="008343E1">
        <w:rPr>
          <w:rFonts w:ascii="Calibri" w:hAnsi="Calibri"/>
          <w:bCs/>
        </w:rPr>
        <w:t>20, pp.</w:t>
      </w:r>
      <w:r w:rsidRPr="008343E1">
        <w:rPr>
          <w:rFonts w:ascii="Calibri" w:hAnsi="Calibri"/>
          <w:bCs/>
        </w:rPr>
        <w:t xml:space="preserve"> </w:t>
      </w:r>
      <w:r w:rsidRPr="008343E1">
        <w:rPr>
          <w:rFonts w:ascii="Calibri" w:hAnsi="Calibri"/>
        </w:rPr>
        <w:t>597–655.</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SLOMAN, S. A. (1996)</w:t>
      </w:r>
      <w:r w:rsidR="004269ED" w:rsidRPr="008343E1">
        <w:rPr>
          <w:rFonts w:eastAsia="MS Mincho"/>
          <w:sz w:val="24"/>
          <w:szCs w:val="24"/>
          <w:lang w:val="en-US" w:eastAsia="ja-JP"/>
        </w:rPr>
        <w:t>,</w:t>
      </w:r>
      <w:r w:rsidRPr="008343E1">
        <w:rPr>
          <w:rFonts w:eastAsia="MS Mincho"/>
          <w:sz w:val="24"/>
          <w:szCs w:val="24"/>
          <w:lang w:val="en-US" w:eastAsia="ja-JP"/>
        </w:rPr>
        <w:t xml:space="preserve"> </w:t>
      </w:r>
      <w:r w:rsidR="004269ED" w:rsidRPr="008343E1">
        <w:rPr>
          <w:rFonts w:eastAsia="MS Mincho"/>
          <w:sz w:val="24"/>
          <w:szCs w:val="24"/>
          <w:lang w:val="en-US" w:eastAsia="ja-JP"/>
        </w:rPr>
        <w:t>‘</w:t>
      </w:r>
      <w:r w:rsidRPr="008343E1">
        <w:rPr>
          <w:rFonts w:eastAsia="MS Mincho"/>
          <w:sz w:val="24"/>
          <w:szCs w:val="24"/>
          <w:lang w:val="en-US" w:eastAsia="ja-JP"/>
        </w:rPr>
        <w:t xml:space="preserve">The </w:t>
      </w:r>
      <w:r w:rsidR="00A565DD" w:rsidRPr="008343E1">
        <w:rPr>
          <w:rFonts w:eastAsia="MS Mincho"/>
          <w:sz w:val="24"/>
          <w:szCs w:val="24"/>
          <w:lang w:val="en-US" w:eastAsia="ja-JP"/>
        </w:rPr>
        <w:t xml:space="preserve">Empirical Case </w:t>
      </w:r>
      <w:r w:rsidRPr="008343E1">
        <w:rPr>
          <w:rFonts w:eastAsia="MS Mincho"/>
          <w:sz w:val="24"/>
          <w:szCs w:val="24"/>
          <w:lang w:val="en-US" w:eastAsia="ja-JP"/>
        </w:rPr>
        <w:t xml:space="preserve">for </w:t>
      </w:r>
      <w:r w:rsidR="00A565DD" w:rsidRPr="008343E1">
        <w:rPr>
          <w:rFonts w:eastAsia="MS Mincho"/>
          <w:sz w:val="24"/>
          <w:szCs w:val="24"/>
          <w:lang w:val="en-US" w:eastAsia="ja-JP"/>
        </w:rPr>
        <w:t xml:space="preserve">Two Systems </w:t>
      </w:r>
      <w:r w:rsidRPr="008343E1">
        <w:rPr>
          <w:rFonts w:eastAsia="MS Mincho"/>
          <w:sz w:val="24"/>
          <w:szCs w:val="24"/>
          <w:lang w:val="en-US" w:eastAsia="ja-JP"/>
        </w:rPr>
        <w:t xml:space="preserve">of </w:t>
      </w:r>
      <w:r w:rsidR="00A565DD" w:rsidRPr="008343E1">
        <w:rPr>
          <w:rFonts w:eastAsia="MS Mincho"/>
          <w:sz w:val="24"/>
          <w:szCs w:val="24"/>
          <w:lang w:val="en-US" w:eastAsia="ja-JP"/>
        </w:rPr>
        <w:t>Reasoning’</w:t>
      </w:r>
      <w:r w:rsidR="004269ED" w:rsidRPr="008343E1">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Psychological Bulletin</w:t>
      </w:r>
      <w:r w:rsidR="004269ED" w:rsidRPr="008343E1">
        <w:rPr>
          <w:rFonts w:eastAsia="MS Mincho"/>
          <w:sz w:val="24"/>
          <w:szCs w:val="24"/>
          <w:lang w:val="en-US" w:eastAsia="ja-JP"/>
        </w:rPr>
        <w:t>, 119, pp. 3-</w:t>
      </w:r>
      <w:r w:rsidRPr="008343E1">
        <w:rPr>
          <w:rFonts w:eastAsia="MS Mincho"/>
          <w:sz w:val="24"/>
          <w:szCs w:val="24"/>
          <w:lang w:val="en-US" w:eastAsia="ja-JP"/>
        </w:rPr>
        <w:t>22.</w:t>
      </w:r>
    </w:p>
    <w:p w:rsidR="000708F8" w:rsidRPr="008343E1" w:rsidRDefault="00A15100" w:rsidP="000708F8">
      <w:pPr>
        <w:pStyle w:val="FootnoteText"/>
        <w:numPr>
          <w:ilvl w:val="0"/>
          <w:numId w:val="35"/>
        </w:numPr>
        <w:rPr>
          <w:sz w:val="24"/>
          <w:szCs w:val="24"/>
          <w:lang w:eastAsia="en-US"/>
        </w:rPr>
      </w:pPr>
      <w:r w:rsidRPr="008343E1">
        <w:rPr>
          <w:sz w:val="24"/>
          <w:szCs w:val="24"/>
          <w:lang w:eastAsia="en-US"/>
        </w:rPr>
        <w:t xml:space="preserve">SOLOMON, R. C. (1984), ‘Getting </w:t>
      </w:r>
      <w:r w:rsidR="00A565DD" w:rsidRPr="008343E1">
        <w:rPr>
          <w:sz w:val="24"/>
          <w:szCs w:val="24"/>
          <w:lang w:eastAsia="en-US"/>
        </w:rPr>
        <w:t>Angry’</w:t>
      </w:r>
      <w:r w:rsidRPr="008343E1">
        <w:rPr>
          <w:sz w:val="24"/>
          <w:szCs w:val="24"/>
          <w:lang w:eastAsia="en-US"/>
        </w:rPr>
        <w:t>, i</w:t>
      </w:r>
      <w:r w:rsidR="000708F8" w:rsidRPr="008343E1">
        <w:rPr>
          <w:sz w:val="24"/>
          <w:szCs w:val="24"/>
          <w:lang w:eastAsia="en-US"/>
        </w:rPr>
        <w:t xml:space="preserve">n Shweder R. </w:t>
      </w:r>
      <w:r w:rsidRPr="008343E1">
        <w:rPr>
          <w:sz w:val="24"/>
          <w:szCs w:val="24"/>
          <w:lang w:eastAsia="en-US"/>
        </w:rPr>
        <w:t xml:space="preserve">and </w:t>
      </w:r>
      <w:r w:rsidR="000708F8" w:rsidRPr="008343E1">
        <w:rPr>
          <w:sz w:val="24"/>
          <w:szCs w:val="24"/>
          <w:lang w:eastAsia="en-US"/>
        </w:rPr>
        <w:t xml:space="preserve">LeVine </w:t>
      </w:r>
      <w:r w:rsidR="000A76A7" w:rsidRPr="008343E1">
        <w:rPr>
          <w:sz w:val="24"/>
          <w:szCs w:val="24"/>
          <w:lang w:eastAsia="en-US"/>
        </w:rPr>
        <w:t>R. (e</w:t>
      </w:r>
      <w:r w:rsidR="000708F8" w:rsidRPr="008343E1">
        <w:rPr>
          <w:sz w:val="24"/>
          <w:szCs w:val="24"/>
          <w:lang w:eastAsia="en-US"/>
        </w:rPr>
        <w:t xml:space="preserve">ds.), </w:t>
      </w:r>
      <w:r w:rsidR="000708F8" w:rsidRPr="008343E1">
        <w:rPr>
          <w:i/>
          <w:sz w:val="24"/>
          <w:szCs w:val="24"/>
          <w:lang w:eastAsia="en-US"/>
        </w:rPr>
        <w:t xml:space="preserve">Culture </w:t>
      </w:r>
      <w:r w:rsidR="00A565DD" w:rsidRPr="008343E1">
        <w:rPr>
          <w:i/>
          <w:sz w:val="24"/>
          <w:szCs w:val="24"/>
          <w:lang w:eastAsia="en-US"/>
        </w:rPr>
        <w:t>Theory</w:t>
      </w:r>
      <w:r w:rsidR="00B55268">
        <w:rPr>
          <w:i/>
          <w:sz w:val="24"/>
          <w:szCs w:val="24"/>
          <w:lang w:eastAsia="en-US"/>
        </w:rPr>
        <w:t>,</w:t>
      </w:r>
      <w:r w:rsidR="00A565DD" w:rsidRPr="008343E1">
        <w:rPr>
          <w:sz w:val="24"/>
          <w:szCs w:val="24"/>
          <w:lang w:eastAsia="en-US"/>
        </w:rPr>
        <w:t xml:space="preserve"> </w:t>
      </w:r>
      <w:r w:rsidR="000A76A7" w:rsidRPr="008343E1">
        <w:rPr>
          <w:sz w:val="24"/>
          <w:szCs w:val="24"/>
          <w:lang w:eastAsia="en-US"/>
        </w:rPr>
        <w:t>New York,</w:t>
      </w:r>
      <w:r w:rsidR="00B55268">
        <w:rPr>
          <w:sz w:val="24"/>
          <w:szCs w:val="24"/>
          <w:lang w:eastAsia="en-US"/>
        </w:rPr>
        <w:t xml:space="preserve"> Cambridge University Press, </w:t>
      </w:r>
      <w:r w:rsidR="00B55268" w:rsidRPr="008343E1">
        <w:rPr>
          <w:sz w:val="24"/>
          <w:szCs w:val="24"/>
          <w:lang w:eastAsia="en-US"/>
        </w:rPr>
        <w:t>(ch. 9).</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ind w:right="-20"/>
        <w:rPr>
          <w:color w:val="231F20"/>
          <w:spacing w:val="2"/>
          <w:sz w:val="24"/>
          <w:szCs w:val="24"/>
        </w:rPr>
      </w:pPr>
      <w:r w:rsidRPr="008343E1">
        <w:rPr>
          <w:color w:val="231F20"/>
          <w:spacing w:val="2"/>
          <w:sz w:val="24"/>
          <w:szCs w:val="24"/>
        </w:rPr>
        <w:t>SOLOMON</w:t>
      </w:r>
      <w:r w:rsidRPr="008343E1">
        <w:rPr>
          <w:color w:val="231F20"/>
          <w:sz w:val="24"/>
          <w:szCs w:val="24"/>
        </w:rPr>
        <w:t>,</w:t>
      </w:r>
      <w:r w:rsidRPr="008343E1">
        <w:rPr>
          <w:color w:val="231F20"/>
          <w:spacing w:val="3"/>
          <w:sz w:val="24"/>
          <w:szCs w:val="24"/>
        </w:rPr>
        <w:t xml:space="preserve"> </w:t>
      </w:r>
      <w:r w:rsidRPr="008343E1">
        <w:rPr>
          <w:color w:val="231F20"/>
          <w:spacing w:val="2"/>
          <w:sz w:val="24"/>
          <w:szCs w:val="24"/>
        </w:rPr>
        <w:t>R.C</w:t>
      </w:r>
      <w:r w:rsidRPr="008343E1">
        <w:rPr>
          <w:color w:val="231F20"/>
          <w:sz w:val="24"/>
          <w:szCs w:val="24"/>
        </w:rPr>
        <w:t>.</w:t>
      </w:r>
      <w:r w:rsidRPr="008343E1">
        <w:rPr>
          <w:color w:val="231F20"/>
          <w:spacing w:val="3"/>
          <w:sz w:val="24"/>
          <w:szCs w:val="24"/>
        </w:rPr>
        <w:t xml:space="preserve"> </w:t>
      </w:r>
      <w:r w:rsidRPr="008343E1">
        <w:rPr>
          <w:color w:val="231F20"/>
          <w:spacing w:val="2"/>
          <w:sz w:val="24"/>
          <w:szCs w:val="24"/>
        </w:rPr>
        <w:t>(1976)</w:t>
      </w:r>
      <w:r w:rsidR="00A255D4" w:rsidRPr="008343E1">
        <w:rPr>
          <w:color w:val="231F20"/>
          <w:sz w:val="24"/>
          <w:szCs w:val="24"/>
        </w:rPr>
        <w:t>,</w:t>
      </w:r>
      <w:r w:rsidRPr="008343E1">
        <w:rPr>
          <w:color w:val="231F20"/>
          <w:spacing w:val="3"/>
          <w:sz w:val="24"/>
          <w:szCs w:val="24"/>
        </w:rPr>
        <w:t xml:space="preserve"> </w:t>
      </w:r>
      <w:r w:rsidRPr="008343E1">
        <w:rPr>
          <w:i/>
          <w:color w:val="231F20"/>
          <w:spacing w:val="2"/>
          <w:sz w:val="24"/>
          <w:szCs w:val="24"/>
        </w:rPr>
        <w:t>Th</w:t>
      </w:r>
      <w:r w:rsidRPr="008343E1">
        <w:rPr>
          <w:i/>
          <w:color w:val="231F20"/>
          <w:sz w:val="24"/>
          <w:szCs w:val="24"/>
        </w:rPr>
        <w:t>e</w:t>
      </w:r>
      <w:r w:rsidRPr="008343E1">
        <w:rPr>
          <w:i/>
          <w:color w:val="231F20"/>
          <w:spacing w:val="-8"/>
          <w:sz w:val="24"/>
          <w:szCs w:val="24"/>
        </w:rPr>
        <w:t xml:space="preserve"> </w:t>
      </w:r>
      <w:r w:rsidRPr="008343E1">
        <w:rPr>
          <w:i/>
          <w:color w:val="231F20"/>
          <w:spacing w:val="2"/>
          <w:sz w:val="24"/>
          <w:szCs w:val="24"/>
        </w:rPr>
        <w:t>Passion</w:t>
      </w:r>
      <w:r w:rsidRPr="008343E1">
        <w:rPr>
          <w:i/>
          <w:color w:val="231F20"/>
          <w:sz w:val="24"/>
          <w:szCs w:val="24"/>
        </w:rPr>
        <w:t>s.</w:t>
      </w:r>
      <w:r w:rsidRPr="008343E1">
        <w:rPr>
          <w:color w:val="231F20"/>
          <w:spacing w:val="21"/>
          <w:sz w:val="24"/>
          <w:szCs w:val="24"/>
        </w:rPr>
        <w:t xml:space="preserve"> </w:t>
      </w:r>
      <w:r w:rsidRPr="008343E1">
        <w:rPr>
          <w:color w:val="231F20"/>
          <w:spacing w:val="2"/>
          <w:sz w:val="24"/>
          <w:szCs w:val="24"/>
        </w:rPr>
        <w:t>Ne</w:t>
      </w:r>
      <w:r w:rsidRPr="008343E1">
        <w:rPr>
          <w:color w:val="231F20"/>
          <w:sz w:val="24"/>
          <w:szCs w:val="24"/>
        </w:rPr>
        <w:t>w</w:t>
      </w:r>
      <w:r w:rsidRPr="008343E1">
        <w:rPr>
          <w:color w:val="231F20"/>
          <w:spacing w:val="2"/>
          <w:sz w:val="24"/>
          <w:szCs w:val="24"/>
        </w:rPr>
        <w:t xml:space="preserve"> York</w:t>
      </w:r>
      <w:r w:rsidR="00FB14C4" w:rsidRPr="008343E1">
        <w:rPr>
          <w:color w:val="231F20"/>
          <w:sz w:val="24"/>
          <w:szCs w:val="24"/>
        </w:rPr>
        <w:t>,</w:t>
      </w:r>
      <w:r w:rsidRPr="008343E1">
        <w:rPr>
          <w:color w:val="231F20"/>
          <w:spacing w:val="3"/>
          <w:sz w:val="24"/>
          <w:szCs w:val="24"/>
        </w:rPr>
        <w:t xml:space="preserve"> </w:t>
      </w:r>
      <w:r w:rsidRPr="008343E1">
        <w:rPr>
          <w:color w:val="231F20"/>
          <w:spacing w:val="1"/>
          <w:sz w:val="24"/>
          <w:szCs w:val="24"/>
        </w:rPr>
        <w:t>D</w:t>
      </w:r>
      <w:r w:rsidRPr="008343E1">
        <w:rPr>
          <w:color w:val="231F20"/>
          <w:spacing w:val="2"/>
          <w:sz w:val="24"/>
          <w:szCs w:val="24"/>
        </w:rPr>
        <w:t>oubleday.</w:t>
      </w:r>
    </w:p>
    <w:p w:rsidR="000708F8" w:rsidRPr="008343E1" w:rsidRDefault="000708F8" w:rsidP="000708F8">
      <w:pPr>
        <w:pStyle w:val="Kleurrijkelijst-accent11"/>
        <w:numPr>
          <w:ilvl w:val="0"/>
          <w:numId w:val="35"/>
        </w:numPr>
        <w:spacing w:after="0" w:line="240" w:lineRule="auto"/>
        <w:rPr>
          <w:sz w:val="24"/>
          <w:szCs w:val="24"/>
        </w:rPr>
      </w:pPr>
      <w:r w:rsidRPr="008343E1">
        <w:rPr>
          <w:sz w:val="24"/>
          <w:szCs w:val="24"/>
        </w:rPr>
        <w:t>SPIV</w:t>
      </w:r>
      <w:r w:rsidR="00FB14C4" w:rsidRPr="008343E1">
        <w:rPr>
          <w:sz w:val="24"/>
          <w:szCs w:val="24"/>
        </w:rPr>
        <w:t>EY, M. J., &amp; GENG, J. J. (2001),</w:t>
      </w:r>
      <w:r w:rsidRPr="008343E1">
        <w:rPr>
          <w:sz w:val="24"/>
          <w:szCs w:val="24"/>
        </w:rPr>
        <w:t xml:space="preserve"> </w:t>
      </w:r>
      <w:r w:rsidR="00FB14C4" w:rsidRPr="008343E1">
        <w:rPr>
          <w:sz w:val="24"/>
          <w:szCs w:val="24"/>
        </w:rPr>
        <w:t>‘</w:t>
      </w:r>
      <w:r w:rsidRPr="008343E1">
        <w:rPr>
          <w:sz w:val="24"/>
          <w:szCs w:val="24"/>
        </w:rPr>
        <w:t xml:space="preserve">Oculomotor </w:t>
      </w:r>
      <w:r w:rsidR="00A565DD" w:rsidRPr="008343E1">
        <w:rPr>
          <w:sz w:val="24"/>
          <w:szCs w:val="24"/>
        </w:rPr>
        <w:t xml:space="preserve">Mechanisms Activated </w:t>
      </w:r>
      <w:r w:rsidRPr="008343E1">
        <w:rPr>
          <w:sz w:val="24"/>
          <w:szCs w:val="24"/>
        </w:rPr>
        <w:t xml:space="preserve">by </w:t>
      </w:r>
      <w:r w:rsidR="00A565DD" w:rsidRPr="008343E1">
        <w:rPr>
          <w:sz w:val="24"/>
          <w:szCs w:val="24"/>
        </w:rPr>
        <w:t xml:space="preserve">Imagery </w:t>
      </w:r>
      <w:r w:rsidRPr="008343E1">
        <w:rPr>
          <w:sz w:val="24"/>
          <w:szCs w:val="24"/>
        </w:rPr>
        <w:t xml:space="preserve">and </w:t>
      </w:r>
      <w:r w:rsidR="00A565DD" w:rsidRPr="008343E1">
        <w:rPr>
          <w:sz w:val="24"/>
          <w:szCs w:val="24"/>
        </w:rPr>
        <w:t>Memory</w:t>
      </w:r>
      <w:r w:rsidRPr="008343E1">
        <w:rPr>
          <w:sz w:val="24"/>
          <w:szCs w:val="24"/>
        </w:rPr>
        <w:t xml:space="preserve">: </w:t>
      </w:r>
      <w:r w:rsidR="00A565DD" w:rsidRPr="008343E1">
        <w:rPr>
          <w:sz w:val="24"/>
          <w:szCs w:val="24"/>
        </w:rPr>
        <w:t xml:space="preserve">Eye Movements </w:t>
      </w:r>
      <w:r w:rsidR="00FB14C4" w:rsidRPr="008343E1">
        <w:rPr>
          <w:sz w:val="24"/>
          <w:szCs w:val="24"/>
        </w:rPr>
        <w:t xml:space="preserve">to </w:t>
      </w:r>
      <w:r w:rsidR="00A565DD" w:rsidRPr="008343E1">
        <w:rPr>
          <w:sz w:val="24"/>
          <w:szCs w:val="24"/>
        </w:rPr>
        <w:t>Absent Objects’</w:t>
      </w:r>
      <w:r w:rsidR="00FB14C4" w:rsidRPr="008343E1">
        <w:rPr>
          <w:sz w:val="24"/>
          <w:szCs w:val="24"/>
        </w:rPr>
        <w:t>,</w:t>
      </w:r>
      <w:r w:rsidRPr="008343E1">
        <w:rPr>
          <w:sz w:val="24"/>
          <w:szCs w:val="24"/>
        </w:rPr>
        <w:t xml:space="preserve"> </w:t>
      </w:r>
      <w:r w:rsidRPr="008343E1">
        <w:rPr>
          <w:i/>
          <w:sz w:val="24"/>
          <w:szCs w:val="24"/>
        </w:rPr>
        <w:t>Psychological Research/Psychologische Forschung, 65</w:t>
      </w:r>
      <w:r w:rsidR="00FB14C4" w:rsidRPr="008343E1">
        <w:rPr>
          <w:sz w:val="24"/>
          <w:szCs w:val="24"/>
        </w:rPr>
        <w:t>, 4, pp. 235-</w:t>
      </w:r>
      <w:r w:rsidRPr="008343E1">
        <w:rPr>
          <w:sz w:val="24"/>
          <w:szCs w:val="24"/>
        </w:rPr>
        <w:t>41.</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STALNAKER, R. (1998)</w:t>
      </w:r>
      <w:r w:rsidR="005E336B" w:rsidRPr="008343E1">
        <w:rPr>
          <w:rFonts w:eastAsia="MS Mincho"/>
          <w:sz w:val="24"/>
          <w:szCs w:val="24"/>
          <w:lang w:val="en-US" w:eastAsia="ja-JP"/>
        </w:rPr>
        <w:t>,</w:t>
      </w:r>
      <w:r w:rsidRPr="008343E1">
        <w:rPr>
          <w:rFonts w:eastAsia="MS Mincho"/>
          <w:sz w:val="24"/>
          <w:szCs w:val="24"/>
          <w:lang w:val="en-US" w:eastAsia="ja-JP"/>
        </w:rPr>
        <w:t xml:space="preserve"> </w:t>
      </w:r>
      <w:r w:rsidR="005E336B" w:rsidRPr="008343E1">
        <w:rPr>
          <w:rFonts w:eastAsia="MS Mincho"/>
          <w:sz w:val="24"/>
          <w:szCs w:val="24"/>
          <w:lang w:val="en-US" w:eastAsia="ja-JP"/>
        </w:rPr>
        <w:t>‘</w:t>
      </w:r>
      <w:r w:rsidRPr="008343E1">
        <w:rPr>
          <w:rFonts w:eastAsia="MS Mincho"/>
          <w:sz w:val="24"/>
          <w:szCs w:val="24"/>
          <w:lang w:val="en-US" w:eastAsia="ja-JP"/>
        </w:rPr>
        <w:t xml:space="preserve">What </w:t>
      </w:r>
      <w:r w:rsidR="00A565DD" w:rsidRPr="008343E1">
        <w:rPr>
          <w:rFonts w:eastAsia="MS Mincho"/>
          <w:sz w:val="24"/>
          <w:szCs w:val="24"/>
          <w:lang w:val="en-US" w:eastAsia="ja-JP"/>
        </w:rPr>
        <w:t>Might Nonconceptual Content Be</w:t>
      </w:r>
      <w:r w:rsidRPr="008343E1">
        <w:rPr>
          <w:rFonts w:eastAsia="MS Mincho"/>
          <w:sz w:val="24"/>
          <w:szCs w:val="24"/>
          <w:lang w:val="en-US" w:eastAsia="ja-JP"/>
        </w:rPr>
        <w:t>?</w:t>
      </w:r>
      <w:proofErr w:type="gramStart"/>
      <w:r w:rsidR="005E336B" w:rsidRPr="008343E1">
        <w:rPr>
          <w:rFonts w:eastAsia="MS Mincho"/>
          <w:sz w:val="24"/>
          <w:szCs w:val="24"/>
          <w:lang w:val="en-US" w:eastAsia="ja-JP"/>
        </w:rPr>
        <w:t>’,</w:t>
      </w:r>
      <w:proofErr w:type="gramEnd"/>
      <w:r w:rsidR="005E336B" w:rsidRPr="008343E1">
        <w:rPr>
          <w:rFonts w:eastAsia="MS Mincho"/>
          <w:sz w:val="24"/>
          <w:szCs w:val="24"/>
          <w:lang w:val="en-US" w:eastAsia="ja-JP"/>
        </w:rPr>
        <w:t xml:space="preserve"> i</w:t>
      </w:r>
      <w:r w:rsidRPr="008343E1">
        <w:rPr>
          <w:rFonts w:eastAsia="MS Mincho"/>
          <w:sz w:val="24"/>
          <w:szCs w:val="24"/>
          <w:lang w:val="en-US" w:eastAsia="ja-JP"/>
        </w:rPr>
        <w:t>n Villanueva</w:t>
      </w:r>
      <w:r w:rsidR="005E336B" w:rsidRPr="008343E1">
        <w:rPr>
          <w:rFonts w:eastAsia="MS Mincho"/>
          <w:sz w:val="24"/>
          <w:szCs w:val="24"/>
          <w:lang w:val="en-US" w:eastAsia="ja-JP"/>
        </w:rPr>
        <w:t>, E. (e</w:t>
      </w:r>
      <w:r w:rsidRPr="008343E1">
        <w:rPr>
          <w:rFonts w:eastAsia="MS Mincho"/>
          <w:sz w:val="24"/>
          <w:szCs w:val="24"/>
          <w:lang w:val="en-US" w:eastAsia="ja-JP"/>
        </w:rPr>
        <w:t xml:space="preserve">d.), </w:t>
      </w:r>
      <w:r w:rsidRPr="008343E1">
        <w:rPr>
          <w:rFonts w:eastAsia="MS Mincho"/>
          <w:i/>
          <w:sz w:val="24"/>
          <w:szCs w:val="24"/>
          <w:lang w:val="en-US" w:eastAsia="ja-JP"/>
        </w:rPr>
        <w:t>Concepts</w:t>
      </w:r>
      <w:r w:rsidR="005E336B" w:rsidRPr="008343E1">
        <w:rPr>
          <w:rFonts w:eastAsia="MS Mincho"/>
          <w:sz w:val="24"/>
          <w:szCs w:val="24"/>
          <w:lang w:val="en-US" w:eastAsia="ja-JP"/>
        </w:rPr>
        <w:t xml:space="preserve">, </w:t>
      </w:r>
      <w:r w:rsidR="005E336B" w:rsidRPr="008343E1">
        <w:rPr>
          <w:rFonts w:eastAsia="MS Mincho"/>
          <w:i/>
          <w:sz w:val="24"/>
          <w:szCs w:val="24"/>
          <w:lang w:val="en-US" w:eastAsia="ja-JP"/>
        </w:rPr>
        <w:t>Philosophical Issues</w:t>
      </w:r>
      <w:r w:rsidR="005E336B" w:rsidRPr="008343E1">
        <w:rPr>
          <w:rFonts w:eastAsia="MS Mincho"/>
          <w:sz w:val="24"/>
          <w:szCs w:val="24"/>
          <w:lang w:val="en-US" w:eastAsia="ja-JP"/>
        </w:rPr>
        <w:t>, Vol. 9</w:t>
      </w:r>
      <w:r w:rsidR="00BD2350" w:rsidRPr="008343E1">
        <w:rPr>
          <w:rFonts w:eastAsia="MS Mincho"/>
          <w:sz w:val="24"/>
          <w:szCs w:val="24"/>
          <w:lang w:val="en-US" w:eastAsia="ja-JP"/>
        </w:rPr>
        <w:t>, Atascadero,</w:t>
      </w:r>
      <w:r w:rsidRPr="008343E1">
        <w:rPr>
          <w:rFonts w:eastAsia="MS Mincho"/>
          <w:sz w:val="24"/>
          <w:szCs w:val="24"/>
          <w:lang w:val="en-US" w:eastAsia="ja-JP"/>
        </w:rPr>
        <w:t xml:space="preserve"> Ridgeview.</w:t>
      </w:r>
    </w:p>
    <w:p w:rsidR="000708F8" w:rsidRPr="008343E1" w:rsidRDefault="00BD2350"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STANOVICH, K. E. (1999),</w:t>
      </w:r>
      <w:r w:rsidR="000708F8" w:rsidRPr="008343E1">
        <w:rPr>
          <w:rFonts w:eastAsia="MS Mincho"/>
          <w:sz w:val="24"/>
          <w:szCs w:val="24"/>
          <w:lang w:val="en-US" w:eastAsia="ja-JP"/>
        </w:rPr>
        <w:t xml:space="preserve"> </w:t>
      </w:r>
      <w:r w:rsidRPr="008343E1">
        <w:rPr>
          <w:rFonts w:eastAsia="MS Mincho"/>
          <w:sz w:val="24"/>
          <w:szCs w:val="24"/>
          <w:lang w:val="en-US" w:eastAsia="ja-JP"/>
        </w:rPr>
        <w:t>‘</w:t>
      </w:r>
      <w:r w:rsidR="000708F8" w:rsidRPr="008343E1">
        <w:rPr>
          <w:rFonts w:eastAsia="MS Mincho"/>
          <w:sz w:val="24"/>
          <w:szCs w:val="24"/>
          <w:lang w:val="en-US" w:eastAsia="ja-JP"/>
        </w:rPr>
        <w:t xml:space="preserve">Who is </w:t>
      </w:r>
      <w:r w:rsidR="00A565DD" w:rsidRPr="008343E1">
        <w:rPr>
          <w:rFonts w:eastAsia="MS Mincho"/>
          <w:sz w:val="24"/>
          <w:szCs w:val="24"/>
          <w:lang w:val="en-US" w:eastAsia="ja-JP"/>
        </w:rPr>
        <w:t>Rational</w:t>
      </w:r>
      <w:r w:rsidR="000708F8" w:rsidRPr="008343E1">
        <w:rPr>
          <w:rFonts w:eastAsia="MS Mincho"/>
          <w:sz w:val="24"/>
          <w:szCs w:val="24"/>
          <w:lang w:val="en-US" w:eastAsia="ja-JP"/>
        </w:rPr>
        <w:t>?</w:t>
      </w:r>
      <w:proofErr w:type="gramStart"/>
      <w:r w:rsidRPr="008343E1">
        <w:rPr>
          <w:rFonts w:eastAsia="MS Mincho"/>
          <w:sz w:val="24"/>
          <w:szCs w:val="24"/>
          <w:lang w:val="en-US" w:eastAsia="ja-JP"/>
        </w:rPr>
        <w:t>’,</w:t>
      </w:r>
      <w:proofErr w:type="gramEnd"/>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Studies of individual differences in reasoning</w:t>
      </w:r>
      <w:r w:rsidRPr="008343E1">
        <w:rPr>
          <w:rFonts w:eastAsia="MS Mincho"/>
          <w:sz w:val="24"/>
          <w:szCs w:val="24"/>
          <w:lang w:val="en-US" w:eastAsia="ja-JP"/>
        </w:rPr>
        <w:t>, Mahwah, NJ,</w:t>
      </w:r>
      <w:r w:rsidR="000708F8" w:rsidRPr="008343E1">
        <w:rPr>
          <w:rFonts w:eastAsia="MS Mincho"/>
          <w:sz w:val="24"/>
          <w:szCs w:val="24"/>
          <w:lang w:val="en-US" w:eastAsia="ja-JP"/>
        </w:rPr>
        <w:t xml:space="preserve"> Lawrence Erlbaum Associates, Inc.</w:t>
      </w:r>
    </w:p>
    <w:p w:rsidR="000708F8" w:rsidRPr="008343E1" w:rsidRDefault="0061498B" w:rsidP="000708F8">
      <w:pPr>
        <w:pStyle w:val="Kleurrijkelijst-accent11"/>
        <w:numPr>
          <w:ilvl w:val="0"/>
          <w:numId w:val="35"/>
        </w:numPr>
        <w:spacing w:after="0" w:line="240" w:lineRule="auto"/>
        <w:rPr>
          <w:sz w:val="24"/>
          <w:szCs w:val="24"/>
        </w:rPr>
      </w:pPr>
      <w:r w:rsidRPr="008343E1">
        <w:rPr>
          <w:sz w:val="24"/>
          <w:szCs w:val="24"/>
        </w:rPr>
        <w:t>STANOVICH, K. E. (2009),</w:t>
      </w:r>
      <w:r w:rsidR="000708F8" w:rsidRPr="008343E1">
        <w:rPr>
          <w:sz w:val="24"/>
          <w:szCs w:val="24"/>
        </w:rPr>
        <w:t xml:space="preserve"> ‘Distinguishing the Reflective, Algorithmic, and Autonomous Minds: Is it </w:t>
      </w:r>
      <w:r w:rsidR="004E348E" w:rsidRPr="008343E1">
        <w:rPr>
          <w:sz w:val="24"/>
          <w:szCs w:val="24"/>
        </w:rPr>
        <w:t xml:space="preserve">Time </w:t>
      </w:r>
      <w:r w:rsidRPr="008343E1">
        <w:rPr>
          <w:sz w:val="24"/>
          <w:szCs w:val="24"/>
        </w:rPr>
        <w:t xml:space="preserve">for a </w:t>
      </w:r>
      <w:r w:rsidR="004E348E" w:rsidRPr="008343E1">
        <w:rPr>
          <w:sz w:val="24"/>
          <w:szCs w:val="24"/>
        </w:rPr>
        <w:t xml:space="preserve">Tri-Process </w:t>
      </w:r>
      <w:r w:rsidRPr="008343E1">
        <w:rPr>
          <w:sz w:val="24"/>
          <w:szCs w:val="24"/>
        </w:rPr>
        <w:t>theory?</w:t>
      </w:r>
      <w:proofErr w:type="gramStart"/>
      <w:r w:rsidRPr="008343E1">
        <w:rPr>
          <w:sz w:val="24"/>
          <w:szCs w:val="24"/>
        </w:rPr>
        <w:t>’,</w:t>
      </w:r>
      <w:proofErr w:type="gramEnd"/>
      <w:r w:rsidRPr="008343E1">
        <w:rPr>
          <w:sz w:val="24"/>
          <w:szCs w:val="24"/>
        </w:rPr>
        <w:t xml:space="preserve"> i</w:t>
      </w:r>
      <w:r w:rsidR="000708F8" w:rsidRPr="008343E1">
        <w:rPr>
          <w:sz w:val="24"/>
          <w:szCs w:val="24"/>
        </w:rPr>
        <w:t xml:space="preserve">n Evans, </w:t>
      </w:r>
      <w:r w:rsidRPr="008343E1">
        <w:rPr>
          <w:sz w:val="24"/>
          <w:szCs w:val="24"/>
        </w:rPr>
        <w:t xml:space="preserve">J. B. </w:t>
      </w:r>
      <w:r w:rsidR="000708F8" w:rsidRPr="008343E1">
        <w:rPr>
          <w:sz w:val="24"/>
          <w:szCs w:val="24"/>
        </w:rPr>
        <w:t>&amp; Frankish</w:t>
      </w:r>
      <w:r w:rsidRPr="008343E1">
        <w:rPr>
          <w:sz w:val="24"/>
          <w:szCs w:val="24"/>
        </w:rPr>
        <w:t>, K. (e</w:t>
      </w:r>
      <w:r w:rsidR="000708F8" w:rsidRPr="008343E1">
        <w:rPr>
          <w:sz w:val="24"/>
          <w:szCs w:val="24"/>
        </w:rPr>
        <w:t>ds.)</w:t>
      </w:r>
      <w:r w:rsidRPr="008343E1">
        <w:rPr>
          <w:sz w:val="24"/>
          <w:szCs w:val="24"/>
        </w:rPr>
        <w:t>,</w:t>
      </w:r>
      <w:r w:rsidR="000708F8" w:rsidRPr="008343E1">
        <w:rPr>
          <w:sz w:val="24"/>
          <w:szCs w:val="24"/>
        </w:rPr>
        <w:t xml:space="preserve"> </w:t>
      </w:r>
      <w:r w:rsidR="000708F8" w:rsidRPr="008343E1">
        <w:rPr>
          <w:i/>
          <w:sz w:val="24"/>
          <w:szCs w:val="24"/>
        </w:rPr>
        <w:t xml:space="preserve">In two </w:t>
      </w:r>
      <w:r w:rsidR="004E348E" w:rsidRPr="008343E1">
        <w:rPr>
          <w:i/>
          <w:sz w:val="24"/>
          <w:szCs w:val="24"/>
        </w:rPr>
        <w:t>Minds</w:t>
      </w:r>
      <w:r w:rsidR="000708F8" w:rsidRPr="008343E1">
        <w:rPr>
          <w:i/>
          <w:sz w:val="24"/>
          <w:szCs w:val="24"/>
        </w:rPr>
        <w:t xml:space="preserve">: Dual </w:t>
      </w:r>
      <w:r w:rsidR="004E348E" w:rsidRPr="008343E1">
        <w:rPr>
          <w:i/>
          <w:sz w:val="24"/>
          <w:szCs w:val="24"/>
        </w:rPr>
        <w:t xml:space="preserve">Processes </w:t>
      </w:r>
      <w:r w:rsidR="000708F8" w:rsidRPr="008343E1">
        <w:rPr>
          <w:i/>
          <w:sz w:val="24"/>
          <w:szCs w:val="24"/>
        </w:rPr>
        <w:t xml:space="preserve">and </w:t>
      </w:r>
      <w:r w:rsidR="004E348E" w:rsidRPr="008343E1">
        <w:rPr>
          <w:i/>
          <w:sz w:val="24"/>
          <w:szCs w:val="24"/>
        </w:rPr>
        <w:t>Beyond</w:t>
      </w:r>
      <w:r w:rsidRPr="008343E1">
        <w:rPr>
          <w:sz w:val="24"/>
          <w:szCs w:val="24"/>
        </w:rPr>
        <w:t>, Oxford,</w:t>
      </w:r>
      <w:r w:rsidR="000708F8" w:rsidRPr="008343E1">
        <w:rPr>
          <w:sz w:val="24"/>
          <w:szCs w:val="24"/>
        </w:rPr>
        <w:t xml:space="preserve"> Oxford University Press, pp.</w:t>
      </w:r>
      <w:r w:rsidRPr="008343E1">
        <w:rPr>
          <w:sz w:val="24"/>
          <w:szCs w:val="24"/>
        </w:rPr>
        <w:t xml:space="preserve"> </w:t>
      </w:r>
      <w:r w:rsidR="000708F8" w:rsidRPr="008343E1">
        <w:rPr>
          <w:sz w:val="24"/>
          <w:szCs w:val="24"/>
        </w:rPr>
        <w:t>55-88.</w:t>
      </w:r>
    </w:p>
    <w:p w:rsidR="000708F8" w:rsidRPr="008343E1" w:rsidRDefault="00473C72"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en-US" w:eastAsia="ja-JP"/>
        </w:rPr>
        <w:t>STANOVICH, K. E. (2011),</w:t>
      </w:r>
      <w:r w:rsidR="000708F8" w:rsidRPr="008343E1">
        <w:rPr>
          <w:rFonts w:eastAsia="MS Mincho"/>
          <w:sz w:val="24"/>
          <w:szCs w:val="24"/>
          <w:lang w:val="en-US" w:eastAsia="ja-JP"/>
        </w:rPr>
        <w:t xml:space="preserve"> </w:t>
      </w:r>
      <w:r w:rsidR="000708F8" w:rsidRPr="008343E1">
        <w:rPr>
          <w:rFonts w:eastAsia="MS Mincho"/>
          <w:i/>
          <w:sz w:val="24"/>
          <w:szCs w:val="24"/>
          <w:lang w:val="en-US" w:eastAsia="ja-JP"/>
        </w:rPr>
        <w:t xml:space="preserve">Rationality and the </w:t>
      </w:r>
      <w:r w:rsidR="004E348E" w:rsidRPr="008343E1">
        <w:rPr>
          <w:rFonts w:eastAsia="MS Mincho"/>
          <w:i/>
          <w:sz w:val="24"/>
          <w:szCs w:val="24"/>
          <w:lang w:val="en-US" w:eastAsia="ja-JP"/>
        </w:rPr>
        <w:t>Reflective Mind</w:t>
      </w:r>
      <w:r w:rsidRPr="008343E1">
        <w:rPr>
          <w:rFonts w:eastAsia="MS Mincho"/>
          <w:sz w:val="24"/>
          <w:szCs w:val="24"/>
          <w:lang w:val="en-US" w:eastAsia="ja-JP"/>
        </w:rPr>
        <w:t>, New York, NY,</w:t>
      </w:r>
      <w:r w:rsidR="000708F8" w:rsidRPr="008343E1">
        <w:rPr>
          <w:rFonts w:eastAsia="MS Mincho"/>
          <w:sz w:val="24"/>
          <w:szCs w:val="24"/>
          <w:lang w:val="en-US" w:eastAsia="ja-JP"/>
        </w:rPr>
        <w:t xml:space="preserve"> Oxford University Press.</w:t>
      </w:r>
    </w:p>
    <w:p w:rsidR="000708F8" w:rsidRPr="008343E1" w:rsidRDefault="000708F8" w:rsidP="000708F8">
      <w:pPr>
        <w:pStyle w:val="Kleurrijkelijst-accent11"/>
        <w:widowControl w:val="0"/>
        <w:numPr>
          <w:ilvl w:val="0"/>
          <w:numId w:val="35"/>
        </w:numPr>
        <w:autoSpaceDE w:val="0"/>
        <w:autoSpaceDN w:val="0"/>
        <w:adjustRightInd w:val="0"/>
        <w:spacing w:after="0" w:line="240" w:lineRule="auto"/>
        <w:rPr>
          <w:rFonts w:eastAsia="MS Mincho"/>
          <w:sz w:val="24"/>
          <w:szCs w:val="24"/>
          <w:lang w:val="en-US" w:eastAsia="ja-JP"/>
        </w:rPr>
      </w:pPr>
      <w:r w:rsidRPr="008343E1">
        <w:rPr>
          <w:rFonts w:eastAsia="MS Mincho"/>
          <w:sz w:val="24"/>
          <w:szCs w:val="24"/>
          <w:lang w:val="de-AT" w:eastAsia="ja-JP"/>
        </w:rPr>
        <w:t>STANOVICH, K. E., &amp; WEST, R. F. (2000)</w:t>
      </w:r>
      <w:r w:rsidR="00143264" w:rsidRPr="008343E1">
        <w:rPr>
          <w:rFonts w:eastAsia="MS Mincho"/>
          <w:sz w:val="24"/>
          <w:szCs w:val="24"/>
          <w:lang w:val="de-AT" w:eastAsia="ja-JP"/>
        </w:rPr>
        <w:t>,</w:t>
      </w:r>
      <w:r w:rsidRPr="008343E1">
        <w:rPr>
          <w:rFonts w:eastAsia="MS Mincho"/>
          <w:sz w:val="24"/>
          <w:szCs w:val="24"/>
          <w:lang w:val="de-AT" w:eastAsia="ja-JP"/>
        </w:rPr>
        <w:t xml:space="preserve"> </w:t>
      </w:r>
      <w:r w:rsidR="00143264" w:rsidRPr="008343E1">
        <w:rPr>
          <w:rFonts w:eastAsia="MS Mincho"/>
          <w:sz w:val="24"/>
          <w:szCs w:val="24"/>
          <w:lang w:val="en-US" w:eastAsia="ja-JP"/>
        </w:rPr>
        <w:t>‘In</w:t>
      </w:r>
      <w:r w:rsidRPr="008343E1">
        <w:rPr>
          <w:rFonts w:eastAsia="MS Mincho"/>
          <w:sz w:val="24"/>
          <w:szCs w:val="24"/>
          <w:lang w:val="en-US" w:eastAsia="ja-JP"/>
        </w:rPr>
        <w:t xml:space="preserve">dividual </w:t>
      </w:r>
      <w:r w:rsidR="004E348E" w:rsidRPr="008343E1">
        <w:rPr>
          <w:rFonts w:eastAsia="MS Mincho"/>
          <w:sz w:val="24"/>
          <w:szCs w:val="24"/>
          <w:lang w:val="en-US" w:eastAsia="ja-JP"/>
        </w:rPr>
        <w:t xml:space="preserve">Differences </w:t>
      </w:r>
      <w:r w:rsidRPr="008343E1">
        <w:rPr>
          <w:rFonts w:eastAsia="MS Mincho"/>
          <w:sz w:val="24"/>
          <w:szCs w:val="24"/>
          <w:lang w:val="en-US" w:eastAsia="ja-JP"/>
        </w:rPr>
        <w:t xml:space="preserve">in </w:t>
      </w:r>
      <w:r w:rsidR="004E348E" w:rsidRPr="008343E1">
        <w:rPr>
          <w:rFonts w:eastAsia="MS Mincho"/>
          <w:sz w:val="24"/>
          <w:szCs w:val="24"/>
          <w:lang w:val="en-US" w:eastAsia="ja-JP"/>
        </w:rPr>
        <w:t>Reasoning</w:t>
      </w:r>
      <w:r w:rsidRPr="008343E1">
        <w:rPr>
          <w:rFonts w:eastAsia="MS Mincho"/>
          <w:sz w:val="24"/>
          <w:szCs w:val="24"/>
          <w:lang w:val="en-US" w:eastAsia="ja-JP"/>
        </w:rPr>
        <w:t xml:space="preserve">: Implications for the </w:t>
      </w:r>
      <w:r w:rsidR="004E348E" w:rsidRPr="008343E1">
        <w:rPr>
          <w:rFonts w:eastAsia="MS Mincho"/>
          <w:sz w:val="24"/>
          <w:szCs w:val="24"/>
          <w:lang w:val="en-US" w:eastAsia="ja-JP"/>
        </w:rPr>
        <w:t>Rationality Debate’</w:t>
      </w:r>
      <w:r w:rsidR="00143264" w:rsidRPr="008343E1">
        <w:rPr>
          <w:rFonts w:eastAsia="MS Mincho"/>
          <w:sz w:val="24"/>
          <w:szCs w:val="24"/>
          <w:lang w:val="en-US" w:eastAsia="ja-JP"/>
        </w:rPr>
        <w:t>,</w:t>
      </w:r>
      <w:r w:rsidRPr="008343E1">
        <w:rPr>
          <w:rFonts w:eastAsia="MS Mincho"/>
          <w:sz w:val="24"/>
          <w:szCs w:val="24"/>
          <w:lang w:val="en-US" w:eastAsia="ja-JP"/>
        </w:rPr>
        <w:t xml:space="preserve"> </w:t>
      </w:r>
      <w:r w:rsidRPr="008343E1">
        <w:rPr>
          <w:rFonts w:eastAsia="MS Mincho"/>
          <w:i/>
          <w:sz w:val="24"/>
          <w:szCs w:val="24"/>
          <w:lang w:val="en-US" w:eastAsia="ja-JP"/>
        </w:rPr>
        <w:t>Behavioral and Brain Sciences</w:t>
      </w:r>
      <w:r w:rsidRPr="008343E1">
        <w:rPr>
          <w:rFonts w:eastAsia="MS Mincho"/>
          <w:sz w:val="24"/>
          <w:szCs w:val="24"/>
          <w:lang w:val="en-US" w:eastAsia="ja-JP"/>
        </w:rPr>
        <w:t xml:space="preserve">, 23, </w:t>
      </w:r>
      <w:r w:rsidR="009B7EC0" w:rsidRPr="008343E1">
        <w:rPr>
          <w:rFonts w:eastAsia="MS Mincho"/>
          <w:sz w:val="24"/>
          <w:szCs w:val="24"/>
          <w:lang w:val="en-US" w:eastAsia="ja-JP"/>
        </w:rPr>
        <w:t>pp. 645-</w:t>
      </w:r>
      <w:r w:rsidRPr="008343E1">
        <w:rPr>
          <w:rFonts w:eastAsia="MS Mincho"/>
          <w:sz w:val="24"/>
          <w:szCs w:val="24"/>
          <w:lang w:val="en-US" w:eastAsia="ja-JP"/>
        </w:rPr>
        <w:t>726.</w:t>
      </w:r>
    </w:p>
    <w:p w:rsidR="00FF4CF3"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rPr>
        <w:t>STRIPLING, J. S., PATNEAU, D.</w:t>
      </w:r>
      <w:r w:rsidR="00CD2977" w:rsidRPr="008343E1">
        <w:rPr>
          <w:rFonts w:ascii="Calibri" w:hAnsi="Calibri"/>
        </w:rPr>
        <w:t xml:space="preserve"> K., and GRAMLICH, C. A. (1988),</w:t>
      </w:r>
      <w:r w:rsidRPr="008343E1">
        <w:rPr>
          <w:rFonts w:ascii="Calibri" w:hAnsi="Calibri"/>
        </w:rPr>
        <w:t xml:space="preserve"> Selective Long-Term Potentiation in the Pyriform Cortex</w:t>
      </w:r>
      <w:r w:rsidR="00CD2977" w:rsidRPr="008343E1">
        <w:rPr>
          <w:rFonts w:ascii="Calibri" w:hAnsi="Calibri"/>
        </w:rPr>
        <w:t xml:space="preserve">’, </w:t>
      </w:r>
      <w:r w:rsidRPr="008343E1">
        <w:rPr>
          <w:rFonts w:ascii="Calibri" w:hAnsi="Calibri"/>
          <w:i/>
        </w:rPr>
        <w:t>Brain Research</w:t>
      </w:r>
      <w:r w:rsidRPr="008343E1">
        <w:rPr>
          <w:rFonts w:ascii="Calibri" w:hAnsi="Calibri"/>
        </w:rPr>
        <w:t>,</w:t>
      </w:r>
      <w:r w:rsidRPr="008343E1">
        <w:rPr>
          <w:rFonts w:ascii="Calibri" w:hAnsi="Calibri"/>
          <w:i/>
        </w:rPr>
        <w:t xml:space="preserve"> </w:t>
      </w:r>
      <w:r w:rsidR="00CD2977" w:rsidRPr="008343E1">
        <w:rPr>
          <w:rFonts w:ascii="Calibri" w:hAnsi="Calibri"/>
        </w:rPr>
        <w:t>441, pp. 281-9</w:t>
      </w:r>
      <w:r w:rsidRPr="008343E1">
        <w:rPr>
          <w:rFonts w:ascii="Calibri" w:hAnsi="Calibri"/>
        </w:rPr>
        <w:t>1.</w:t>
      </w:r>
    </w:p>
    <w:p w:rsidR="00132834" w:rsidRPr="008343E1" w:rsidRDefault="00132834" w:rsidP="008343E1">
      <w:pPr>
        <w:pStyle w:val="ListParagraph"/>
        <w:numPr>
          <w:ilvl w:val="0"/>
          <w:numId w:val="35"/>
        </w:numPr>
        <w:spacing w:before="60" w:after="60" w:line="276" w:lineRule="auto"/>
        <w:rPr>
          <w:rFonts w:ascii="Calibri" w:hAnsi="Calibri"/>
        </w:rPr>
      </w:pPr>
      <w:r w:rsidRPr="008343E1">
        <w:rPr>
          <w:rFonts w:ascii="Calibri" w:hAnsi="Calibri"/>
        </w:rPr>
        <w:t>TILLAS, A. (forthcoming 2015</w:t>
      </w:r>
      <w:r w:rsidR="00623B03" w:rsidRPr="008343E1">
        <w:rPr>
          <w:rFonts w:ascii="Calibri" w:hAnsi="Calibri"/>
        </w:rPr>
        <w:t>a</w:t>
      </w:r>
      <w:r w:rsidRPr="008343E1">
        <w:rPr>
          <w:rFonts w:ascii="Calibri" w:hAnsi="Calibri"/>
        </w:rPr>
        <w:t xml:space="preserve">), </w:t>
      </w:r>
      <w:r w:rsidRPr="008343E1">
        <w:rPr>
          <w:rFonts w:ascii="Calibri" w:eastAsiaTheme="minorEastAsia" w:hAnsi="Calibri"/>
        </w:rPr>
        <w:t>‘On the Origins of Concepts’, in</w:t>
      </w:r>
      <w:r w:rsidR="00FF4CF3" w:rsidRPr="008343E1">
        <w:rPr>
          <w:rFonts w:ascii="Calibri" w:eastAsiaTheme="minorEastAsia" w:hAnsi="Calibri"/>
        </w:rPr>
        <w:t xml:space="preserve"> </w:t>
      </w:r>
      <w:r w:rsidRPr="008343E1">
        <w:rPr>
          <w:rFonts w:ascii="Calibri" w:eastAsiaTheme="minorEastAsia" w:hAnsi="Calibri"/>
        </w:rPr>
        <w:t>Kann, C., Hommen, D., and Osswald, T. (eds.)</w:t>
      </w:r>
      <w:r w:rsidR="00FF4CF3" w:rsidRPr="008343E1">
        <w:rPr>
          <w:rFonts w:ascii="Calibri" w:eastAsiaTheme="minorEastAsia" w:hAnsi="Calibri"/>
        </w:rPr>
        <w:t>,</w:t>
      </w:r>
      <w:r w:rsidRPr="008343E1">
        <w:rPr>
          <w:rFonts w:ascii="Calibri" w:eastAsiaTheme="minorEastAsia" w:hAnsi="Calibri"/>
        </w:rPr>
        <w:t xml:space="preserve"> </w:t>
      </w:r>
      <w:r w:rsidRPr="008343E1">
        <w:rPr>
          <w:rFonts w:ascii="Calibri" w:eastAsiaTheme="minorEastAsia" w:hAnsi="Calibri"/>
          <w:i/>
        </w:rPr>
        <w:t>Concepts and</w:t>
      </w:r>
      <w:r w:rsidR="00FF4CF3" w:rsidRPr="008343E1">
        <w:rPr>
          <w:rFonts w:ascii="Calibri" w:eastAsiaTheme="minorEastAsia" w:hAnsi="Calibri"/>
          <w:i/>
        </w:rPr>
        <w:t xml:space="preserve"> </w:t>
      </w:r>
      <w:r w:rsidRPr="008343E1">
        <w:rPr>
          <w:rFonts w:ascii="Calibri" w:eastAsiaTheme="minorEastAsia" w:hAnsi="Calibri"/>
          <w:i/>
        </w:rPr>
        <w:t>Categorization</w:t>
      </w:r>
      <w:r w:rsidRPr="008343E1">
        <w:rPr>
          <w:rFonts w:ascii="Calibri" w:eastAsiaTheme="minorEastAsia" w:hAnsi="Calibri"/>
        </w:rPr>
        <w:t>. Paderborn, Mentis.</w:t>
      </w:r>
    </w:p>
    <w:p w:rsidR="001135AC" w:rsidRPr="008343E1" w:rsidRDefault="001135AC" w:rsidP="008343E1">
      <w:pPr>
        <w:pStyle w:val="ListParagraph"/>
        <w:widowControl w:val="0"/>
        <w:numPr>
          <w:ilvl w:val="0"/>
          <w:numId w:val="35"/>
        </w:numPr>
        <w:autoSpaceDE w:val="0"/>
        <w:autoSpaceDN w:val="0"/>
        <w:adjustRightInd w:val="0"/>
        <w:rPr>
          <w:rFonts w:ascii="Calibri" w:eastAsiaTheme="minorEastAsia" w:hAnsi="Calibri"/>
        </w:rPr>
      </w:pPr>
      <w:r w:rsidRPr="008343E1">
        <w:rPr>
          <w:rFonts w:ascii="Calibri" w:hAnsi="Calibri"/>
        </w:rPr>
        <w:t xml:space="preserve">TILLAS, A. </w:t>
      </w:r>
      <w:r w:rsidRPr="008343E1">
        <w:rPr>
          <w:rFonts w:ascii="Calibri" w:eastAsiaTheme="minorEastAsia" w:hAnsi="Calibri"/>
        </w:rPr>
        <w:t>(forthcoming 2015b), ‘Internal Supervision &amp; Clustering: A New Lesson from “Old” Findings?</w:t>
      </w:r>
      <w:proofErr w:type="gramStart"/>
      <w:r w:rsidRPr="008343E1">
        <w:rPr>
          <w:rFonts w:ascii="Calibri" w:eastAsiaTheme="minorEastAsia" w:hAnsi="Calibri"/>
        </w:rPr>
        <w:t>’,</w:t>
      </w:r>
      <w:proofErr w:type="gramEnd"/>
      <w:r w:rsidRPr="008343E1">
        <w:rPr>
          <w:rFonts w:ascii="Calibri" w:eastAsiaTheme="minorEastAsia" w:hAnsi="Calibri"/>
        </w:rPr>
        <w:t xml:space="preserve"> in Müller V. C. (ed.), </w:t>
      </w:r>
      <w:r w:rsidRPr="008343E1">
        <w:rPr>
          <w:rFonts w:ascii="Calibri" w:eastAsiaTheme="minorEastAsia" w:hAnsi="Calibri"/>
          <w:i/>
        </w:rPr>
        <w:t>Computing and Philosophy</w:t>
      </w:r>
      <w:r w:rsidRPr="008343E1">
        <w:rPr>
          <w:rFonts w:ascii="Calibri" w:eastAsiaTheme="minorEastAsia" w:hAnsi="Calibri"/>
        </w:rPr>
        <w:t>, Synthese Library, Springer.</w:t>
      </w:r>
      <w:r w:rsidRPr="008343E1">
        <w:rPr>
          <w:rFonts w:ascii="Calibri" w:hAnsi="Calibri"/>
        </w:rPr>
        <w:t xml:space="preserve"> </w:t>
      </w:r>
    </w:p>
    <w:p w:rsidR="00BB515B" w:rsidRPr="008343E1" w:rsidRDefault="00FF4CF3" w:rsidP="008343E1">
      <w:pPr>
        <w:pStyle w:val="ListParagraph"/>
        <w:numPr>
          <w:ilvl w:val="0"/>
          <w:numId w:val="35"/>
        </w:numPr>
        <w:spacing w:before="60" w:after="60" w:line="276" w:lineRule="auto"/>
        <w:rPr>
          <w:rFonts w:ascii="Calibri" w:hAnsi="Calibri"/>
        </w:rPr>
      </w:pPr>
      <w:r w:rsidRPr="008343E1">
        <w:rPr>
          <w:rFonts w:ascii="Calibri" w:hAnsi="Calibri"/>
        </w:rPr>
        <w:t>TILLAS</w:t>
      </w:r>
      <w:r w:rsidR="004D0C41" w:rsidRPr="008343E1">
        <w:rPr>
          <w:rFonts w:ascii="Calibri" w:hAnsi="Calibri"/>
        </w:rPr>
        <w:t>, A. (</w:t>
      </w:r>
      <w:r w:rsidR="00132834" w:rsidRPr="008343E1">
        <w:rPr>
          <w:rFonts w:ascii="Calibri" w:hAnsi="Calibri"/>
        </w:rPr>
        <w:t>2014</w:t>
      </w:r>
      <w:r w:rsidR="004234AA" w:rsidRPr="008343E1">
        <w:rPr>
          <w:rFonts w:ascii="Calibri" w:hAnsi="Calibri"/>
        </w:rPr>
        <w:t>),</w:t>
      </w:r>
      <w:r w:rsidR="004D0C41" w:rsidRPr="008343E1">
        <w:rPr>
          <w:rFonts w:ascii="Calibri" w:hAnsi="Calibri"/>
        </w:rPr>
        <w:t xml:space="preserve"> 'How do Ideas Become General in their </w:t>
      </w:r>
      <w:r w:rsidRPr="008343E1">
        <w:rPr>
          <w:rFonts w:ascii="Calibri" w:hAnsi="Calibri"/>
        </w:rPr>
        <w:t>Signification?</w:t>
      </w:r>
      <w:proofErr w:type="gramStart"/>
      <w:r w:rsidRPr="008343E1">
        <w:rPr>
          <w:rFonts w:ascii="Calibri" w:hAnsi="Calibri"/>
        </w:rPr>
        <w:t>’,</w:t>
      </w:r>
      <w:proofErr w:type="gramEnd"/>
      <w:r w:rsidRPr="008343E1">
        <w:rPr>
          <w:rFonts w:ascii="Calibri" w:hAnsi="Calibri"/>
        </w:rPr>
        <w:t xml:space="preserve"> i</w:t>
      </w:r>
      <w:r w:rsidR="004D0C41" w:rsidRPr="008343E1">
        <w:rPr>
          <w:rFonts w:ascii="Calibri" w:hAnsi="Calibri"/>
        </w:rPr>
        <w:t xml:space="preserve">n Machery, </w:t>
      </w:r>
      <w:r w:rsidRPr="008343E1">
        <w:rPr>
          <w:rFonts w:ascii="Calibri" w:hAnsi="Calibri"/>
        </w:rPr>
        <w:t xml:space="preserve">E., </w:t>
      </w:r>
      <w:r w:rsidR="004D0C41" w:rsidRPr="008343E1">
        <w:rPr>
          <w:rFonts w:ascii="Calibri" w:hAnsi="Calibri"/>
        </w:rPr>
        <w:t xml:space="preserve">Prinz, </w:t>
      </w:r>
      <w:r w:rsidRPr="008343E1">
        <w:rPr>
          <w:rFonts w:ascii="Calibri" w:hAnsi="Calibri"/>
        </w:rPr>
        <w:t>J. and Skilters</w:t>
      </w:r>
      <w:r w:rsidR="000706F1">
        <w:rPr>
          <w:rFonts w:ascii="Calibri" w:hAnsi="Calibri"/>
        </w:rPr>
        <w:t>, J.</w:t>
      </w:r>
      <w:r w:rsidRPr="008343E1">
        <w:rPr>
          <w:rFonts w:ascii="Calibri" w:hAnsi="Calibri"/>
        </w:rPr>
        <w:t xml:space="preserve"> (e</w:t>
      </w:r>
      <w:r w:rsidR="004D0C41" w:rsidRPr="008343E1">
        <w:rPr>
          <w:rFonts w:ascii="Calibri" w:hAnsi="Calibri"/>
        </w:rPr>
        <w:t>ds.)</w:t>
      </w:r>
      <w:r w:rsidRPr="008343E1">
        <w:rPr>
          <w:rFonts w:ascii="Calibri" w:hAnsi="Calibri"/>
        </w:rPr>
        <w:t>,</w:t>
      </w:r>
      <w:r w:rsidR="004D0C41" w:rsidRPr="008343E1">
        <w:rPr>
          <w:rFonts w:ascii="Calibri" w:hAnsi="Calibri"/>
        </w:rPr>
        <w:t xml:space="preserve"> </w:t>
      </w:r>
      <w:r w:rsidR="004D0C41" w:rsidRPr="008343E1">
        <w:rPr>
          <w:rFonts w:ascii="Calibri" w:hAnsi="Calibri"/>
          <w:i/>
        </w:rPr>
        <w:t>The Baltic International Yearbook of Cognition, Logic and Communication</w:t>
      </w:r>
      <w:r w:rsidR="004D0C41" w:rsidRPr="008343E1">
        <w:rPr>
          <w:rFonts w:ascii="Calibri" w:hAnsi="Calibri"/>
        </w:rPr>
        <w:t xml:space="preserve">, </w:t>
      </w:r>
      <w:r w:rsidR="004234AA" w:rsidRPr="008343E1">
        <w:rPr>
          <w:rFonts w:ascii="Calibri" w:eastAsiaTheme="minorEastAsia" w:hAnsi="Calibri"/>
        </w:rPr>
        <w:t>Vol. 9, Kansas,</w:t>
      </w:r>
      <w:r w:rsidR="004D0C41" w:rsidRPr="008343E1">
        <w:rPr>
          <w:rFonts w:ascii="Calibri" w:eastAsiaTheme="minorEastAsia" w:hAnsi="Calibri"/>
        </w:rPr>
        <w:t xml:space="preserve"> New Prairie Press.</w:t>
      </w:r>
    </w:p>
    <w:p w:rsidR="00BB515B" w:rsidRPr="008343E1" w:rsidRDefault="004234AA" w:rsidP="008343E1">
      <w:pPr>
        <w:pStyle w:val="ListParagraph"/>
        <w:numPr>
          <w:ilvl w:val="0"/>
          <w:numId w:val="35"/>
        </w:numPr>
        <w:spacing w:before="60" w:after="60" w:line="276" w:lineRule="auto"/>
        <w:rPr>
          <w:rFonts w:ascii="Calibri" w:hAnsi="Calibri"/>
        </w:rPr>
      </w:pPr>
      <w:r w:rsidRPr="008343E1">
        <w:rPr>
          <w:rFonts w:ascii="Calibri" w:eastAsiaTheme="minorEastAsia" w:hAnsi="Calibri"/>
        </w:rPr>
        <w:t>TILLAS</w:t>
      </w:r>
      <w:r w:rsidR="00132834" w:rsidRPr="008343E1">
        <w:rPr>
          <w:rFonts w:ascii="Calibri" w:eastAsiaTheme="minorEastAsia" w:hAnsi="Calibri"/>
        </w:rPr>
        <w:t>, A. (2010</w:t>
      </w:r>
      <w:r w:rsidRPr="008343E1">
        <w:rPr>
          <w:rFonts w:ascii="Calibri" w:eastAsiaTheme="minorEastAsia" w:hAnsi="Calibri"/>
        </w:rPr>
        <w:t>),</w:t>
      </w:r>
      <w:r w:rsidR="00BB515B" w:rsidRPr="008343E1">
        <w:rPr>
          <w:rFonts w:ascii="Calibri" w:eastAsiaTheme="minorEastAsia" w:hAnsi="Calibri"/>
        </w:rPr>
        <w:t xml:space="preserve"> </w:t>
      </w:r>
      <w:r w:rsidR="00BB515B" w:rsidRPr="008343E1">
        <w:rPr>
          <w:rFonts w:ascii="Calibri" w:eastAsiaTheme="minorEastAsia" w:hAnsi="Calibri"/>
          <w:i/>
        </w:rPr>
        <w:t>Back to Our Senses: An Empiricist on Concept</w:t>
      </w:r>
      <w:r w:rsidRPr="008343E1">
        <w:rPr>
          <w:rFonts w:ascii="Calibri" w:eastAsiaTheme="minorEastAsia" w:hAnsi="Calibri"/>
          <w:i/>
        </w:rPr>
        <w:t xml:space="preserve"> Acquisition</w:t>
      </w:r>
      <w:r w:rsidRPr="008343E1">
        <w:rPr>
          <w:rFonts w:ascii="Calibri" w:eastAsiaTheme="minorEastAsia" w:hAnsi="Calibri"/>
        </w:rPr>
        <w:t>, Doctoral Thesis,</w:t>
      </w:r>
      <w:r w:rsidR="00BB515B" w:rsidRPr="008343E1">
        <w:rPr>
          <w:rFonts w:ascii="Calibri" w:eastAsiaTheme="minorEastAsia" w:hAnsi="Calibri"/>
        </w:rPr>
        <w:t xml:space="preserve"> University of Bristol, UK</w:t>
      </w:r>
    </w:p>
    <w:p w:rsidR="000708F8" w:rsidRPr="008343E1" w:rsidRDefault="000708F8" w:rsidP="008343E1">
      <w:pPr>
        <w:pStyle w:val="ListParagraph"/>
        <w:numPr>
          <w:ilvl w:val="0"/>
          <w:numId w:val="35"/>
        </w:numPr>
        <w:spacing w:before="60" w:after="60" w:line="276" w:lineRule="auto"/>
        <w:rPr>
          <w:rFonts w:ascii="Calibri" w:hAnsi="Calibri"/>
        </w:rPr>
      </w:pPr>
      <w:r w:rsidRPr="008343E1">
        <w:rPr>
          <w:rFonts w:ascii="Calibri" w:eastAsia="Calibri" w:hAnsi="Calibri"/>
        </w:rPr>
        <w:t>THO</w:t>
      </w:r>
      <w:r w:rsidR="0003102A" w:rsidRPr="008343E1">
        <w:rPr>
          <w:rFonts w:ascii="Calibri" w:eastAsia="Calibri" w:hAnsi="Calibri"/>
        </w:rPr>
        <w:t>MPSON, V. &amp; EVANS, J. B. (2012),</w:t>
      </w:r>
      <w:r w:rsidRPr="008343E1">
        <w:rPr>
          <w:rFonts w:ascii="Calibri" w:eastAsia="Calibri" w:hAnsi="Calibri"/>
        </w:rPr>
        <w:t xml:space="preserve"> </w:t>
      </w:r>
      <w:r w:rsidR="0003102A" w:rsidRPr="008343E1">
        <w:rPr>
          <w:rFonts w:ascii="Calibri" w:eastAsia="Calibri" w:hAnsi="Calibri"/>
        </w:rPr>
        <w:t>‘</w:t>
      </w:r>
      <w:r w:rsidRPr="008343E1">
        <w:rPr>
          <w:rFonts w:ascii="Calibri" w:eastAsia="Calibri" w:hAnsi="Calibri"/>
        </w:rPr>
        <w:t xml:space="preserve">Belief </w:t>
      </w:r>
      <w:r w:rsidR="004E348E" w:rsidRPr="008343E1">
        <w:rPr>
          <w:rFonts w:ascii="Calibri" w:eastAsia="Calibri" w:hAnsi="Calibri"/>
        </w:rPr>
        <w:t xml:space="preserve">Bias </w:t>
      </w:r>
      <w:r w:rsidRPr="008343E1">
        <w:rPr>
          <w:rFonts w:ascii="Calibri" w:eastAsia="Calibri" w:hAnsi="Calibri"/>
        </w:rPr>
        <w:t xml:space="preserve">in </w:t>
      </w:r>
      <w:r w:rsidR="004E348E" w:rsidRPr="008343E1">
        <w:rPr>
          <w:rFonts w:ascii="Calibri" w:eastAsia="Calibri" w:hAnsi="Calibri"/>
        </w:rPr>
        <w:t>Informal Reasoning’</w:t>
      </w:r>
      <w:r w:rsidR="0003102A" w:rsidRPr="008343E1">
        <w:rPr>
          <w:rFonts w:ascii="Calibri" w:eastAsia="Calibri" w:hAnsi="Calibri"/>
        </w:rPr>
        <w:t xml:space="preserve">, </w:t>
      </w:r>
      <w:r w:rsidRPr="008343E1">
        <w:rPr>
          <w:rFonts w:ascii="Calibri" w:eastAsia="Calibri" w:hAnsi="Calibri"/>
          <w:i/>
          <w:iCs/>
        </w:rPr>
        <w:t>Thinking and Reasoning</w:t>
      </w:r>
      <w:r w:rsidR="0003102A" w:rsidRPr="008343E1">
        <w:rPr>
          <w:rFonts w:ascii="Calibri" w:eastAsia="Calibri" w:hAnsi="Calibri"/>
          <w:i/>
          <w:iCs/>
        </w:rPr>
        <w:t>,</w:t>
      </w:r>
      <w:r w:rsidR="0003102A" w:rsidRPr="008343E1">
        <w:rPr>
          <w:rFonts w:ascii="Calibri" w:eastAsia="Calibri" w:hAnsi="Calibri"/>
        </w:rPr>
        <w:t xml:space="preserve"> 18, 3, pp. 278-</w:t>
      </w:r>
      <w:r w:rsidRPr="008343E1">
        <w:rPr>
          <w:rFonts w:ascii="Calibri" w:eastAsia="Calibri" w:hAnsi="Calibri"/>
        </w:rPr>
        <w:t>310.</w:t>
      </w:r>
    </w:p>
    <w:p w:rsidR="000708F8"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rPr>
        <w:t>UNCAPHER, M. R., HUTCHINSON, B. J. &amp; WAGNER</w:t>
      </w:r>
      <w:r w:rsidR="00524398" w:rsidRPr="008343E1">
        <w:rPr>
          <w:rFonts w:ascii="Calibri" w:hAnsi="Calibri"/>
        </w:rPr>
        <w:t>, A. D. (2011),</w:t>
      </w:r>
      <w:r w:rsidRPr="008343E1">
        <w:rPr>
          <w:rFonts w:ascii="Calibri" w:hAnsi="Calibri"/>
        </w:rPr>
        <w:t xml:space="preserve"> </w:t>
      </w:r>
      <w:r w:rsidR="00524398" w:rsidRPr="008343E1">
        <w:rPr>
          <w:rFonts w:ascii="Calibri" w:hAnsi="Calibri"/>
        </w:rPr>
        <w:t>‘</w:t>
      </w:r>
      <w:r w:rsidRPr="008343E1">
        <w:rPr>
          <w:rFonts w:ascii="Calibri" w:hAnsi="Calibri"/>
        </w:rPr>
        <w:t xml:space="preserve">Dissociable </w:t>
      </w:r>
      <w:r w:rsidR="004E348E" w:rsidRPr="008343E1">
        <w:rPr>
          <w:rFonts w:ascii="Calibri" w:hAnsi="Calibri"/>
        </w:rPr>
        <w:t xml:space="preserve">Effects </w:t>
      </w:r>
      <w:r w:rsidRPr="008343E1">
        <w:rPr>
          <w:rFonts w:ascii="Calibri" w:hAnsi="Calibri"/>
        </w:rPr>
        <w:t xml:space="preserve">of </w:t>
      </w:r>
      <w:r w:rsidR="004E348E" w:rsidRPr="008343E1">
        <w:rPr>
          <w:rFonts w:ascii="Calibri" w:hAnsi="Calibri"/>
        </w:rPr>
        <w:t>Top</w:t>
      </w:r>
      <w:r w:rsidRPr="008343E1">
        <w:rPr>
          <w:rFonts w:ascii="Calibri" w:hAnsi="Calibri"/>
        </w:rPr>
        <w:t>-</w:t>
      </w:r>
      <w:r w:rsidR="004E348E" w:rsidRPr="008343E1">
        <w:rPr>
          <w:rFonts w:ascii="Calibri" w:hAnsi="Calibri"/>
        </w:rPr>
        <w:t xml:space="preserve">Down </w:t>
      </w:r>
      <w:r w:rsidRPr="008343E1">
        <w:rPr>
          <w:rFonts w:ascii="Calibri" w:hAnsi="Calibri"/>
        </w:rPr>
        <w:t xml:space="preserve">and </w:t>
      </w:r>
      <w:r w:rsidR="004E348E" w:rsidRPr="008343E1">
        <w:rPr>
          <w:rFonts w:ascii="Calibri" w:hAnsi="Calibri"/>
        </w:rPr>
        <w:t>Bottom</w:t>
      </w:r>
      <w:r w:rsidRPr="008343E1">
        <w:rPr>
          <w:rFonts w:ascii="Calibri" w:hAnsi="Calibri"/>
        </w:rPr>
        <w:t>-</w:t>
      </w:r>
      <w:r w:rsidR="004E348E" w:rsidRPr="008343E1">
        <w:rPr>
          <w:rFonts w:ascii="Calibri" w:hAnsi="Calibri"/>
        </w:rPr>
        <w:t>Up Attention During Episodic Encoding’</w:t>
      </w:r>
      <w:r w:rsidR="00524398" w:rsidRPr="008343E1">
        <w:rPr>
          <w:rFonts w:ascii="Calibri" w:hAnsi="Calibri"/>
        </w:rPr>
        <w:t>,</w:t>
      </w:r>
      <w:r w:rsidRPr="008343E1">
        <w:rPr>
          <w:rFonts w:ascii="Calibri" w:hAnsi="Calibri"/>
        </w:rPr>
        <w:t xml:space="preserve"> </w:t>
      </w:r>
      <w:r w:rsidRPr="008343E1">
        <w:rPr>
          <w:rFonts w:ascii="Calibri" w:hAnsi="Calibri"/>
          <w:i/>
        </w:rPr>
        <w:t>The Journal of Neuroscience</w:t>
      </w:r>
      <w:r w:rsidR="00524398" w:rsidRPr="008343E1">
        <w:rPr>
          <w:rFonts w:ascii="Calibri" w:hAnsi="Calibri"/>
        </w:rPr>
        <w:t>,</w:t>
      </w:r>
      <w:r w:rsidRPr="008343E1">
        <w:rPr>
          <w:rFonts w:ascii="Calibri" w:hAnsi="Calibri"/>
        </w:rPr>
        <w:t xml:space="preserve"> 31, 35, pp. 12613–28. </w:t>
      </w:r>
    </w:p>
    <w:p w:rsidR="000708F8"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rPr>
        <w:t>WALTERS, E. T. &amp; BYRN</w:t>
      </w:r>
      <w:r w:rsidR="00A6756F" w:rsidRPr="008343E1">
        <w:rPr>
          <w:rFonts w:ascii="Calibri" w:hAnsi="Calibri"/>
        </w:rPr>
        <w:t>E, J. H. (1985),</w:t>
      </w:r>
      <w:r w:rsidRPr="008343E1">
        <w:rPr>
          <w:rFonts w:ascii="Calibri" w:hAnsi="Calibri"/>
        </w:rPr>
        <w:t xml:space="preserve"> ‘Long-</w:t>
      </w:r>
      <w:r w:rsidR="004E348E" w:rsidRPr="008343E1">
        <w:rPr>
          <w:rFonts w:ascii="Calibri" w:hAnsi="Calibri"/>
        </w:rPr>
        <w:t xml:space="preserve">Term Enhancement Produced </w:t>
      </w:r>
      <w:r w:rsidRPr="008343E1">
        <w:rPr>
          <w:rFonts w:ascii="Calibri" w:hAnsi="Calibri"/>
        </w:rPr>
        <w:t xml:space="preserve">by </w:t>
      </w:r>
      <w:r w:rsidR="004E348E" w:rsidRPr="008343E1">
        <w:rPr>
          <w:rFonts w:ascii="Calibri" w:hAnsi="Calibri"/>
        </w:rPr>
        <w:t>Activity</w:t>
      </w:r>
      <w:r w:rsidRPr="008343E1">
        <w:rPr>
          <w:rFonts w:ascii="Calibri" w:hAnsi="Calibri"/>
        </w:rPr>
        <w:t>-</w:t>
      </w:r>
      <w:r w:rsidR="004E348E" w:rsidRPr="008343E1">
        <w:rPr>
          <w:rFonts w:ascii="Calibri" w:hAnsi="Calibri"/>
        </w:rPr>
        <w:t xml:space="preserve">Dependent Modulation </w:t>
      </w:r>
      <w:r w:rsidRPr="008343E1">
        <w:rPr>
          <w:rFonts w:ascii="Calibri" w:hAnsi="Calibri"/>
        </w:rPr>
        <w:t xml:space="preserve">of Aplysia </w:t>
      </w:r>
      <w:r w:rsidR="004E348E" w:rsidRPr="008343E1">
        <w:rPr>
          <w:rFonts w:ascii="Calibri" w:hAnsi="Calibri"/>
        </w:rPr>
        <w:t>Sensory Neurons’</w:t>
      </w:r>
      <w:r w:rsidR="00461B16" w:rsidRPr="008343E1">
        <w:rPr>
          <w:rFonts w:ascii="Calibri" w:hAnsi="Calibri"/>
        </w:rPr>
        <w:t>,</w:t>
      </w:r>
      <w:r w:rsidRPr="008343E1">
        <w:rPr>
          <w:rFonts w:ascii="Calibri" w:hAnsi="Calibri"/>
        </w:rPr>
        <w:t xml:space="preserve"> </w:t>
      </w:r>
      <w:r w:rsidRPr="008343E1">
        <w:rPr>
          <w:rFonts w:ascii="Calibri" w:hAnsi="Calibri"/>
          <w:i/>
        </w:rPr>
        <w:t>Journal of Neuroscience</w:t>
      </w:r>
      <w:r w:rsidR="00461B16" w:rsidRPr="008343E1">
        <w:rPr>
          <w:rFonts w:ascii="Calibri" w:hAnsi="Calibri"/>
          <w:i/>
        </w:rPr>
        <w:t>,</w:t>
      </w:r>
      <w:r w:rsidRPr="008343E1">
        <w:rPr>
          <w:rFonts w:ascii="Calibri" w:hAnsi="Calibri"/>
          <w:i/>
        </w:rPr>
        <w:t xml:space="preserve"> </w:t>
      </w:r>
      <w:r w:rsidR="00461B16" w:rsidRPr="008343E1">
        <w:rPr>
          <w:rFonts w:ascii="Calibri" w:hAnsi="Calibri"/>
        </w:rPr>
        <w:t>5, pp. 662-</w:t>
      </w:r>
      <w:r w:rsidRPr="008343E1">
        <w:rPr>
          <w:rFonts w:ascii="Calibri" w:hAnsi="Calibri"/>
        </w:rPr>
        <w:t>72.</w:t>
      </w:r>
    </w:p>
    <w:p w:rsidR="000708F8"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rPr>
        <w:t>WASON, P. C. &amp; EVANS, J. B. (1975)</w:t>
      </w:r>
      <w:r w:rsidR="0002497A" w:rsidRPr="008343E1">
        <w:rPr>
          <w:rFonts w:ascii="Calibri" w:hAnsi="Calibri"/>
        </w:rPr>
        <w:t>,</w:t>
      </w:r>
      <w:r w:rsidRPr="008343E1">
        <w:rPr>
          <w:rFonts w:ascii="Calibri" w:hAnsi="Calibri"/>
        </w:rPr>
        <w:t xml:space="preserve"> </w:t>
      </w:r>
      <w:r w:rsidR="0002497A" w:rsidRPr="008343E1">
        <w:rPr>
          <w:rFonts w:ascii="Calibri" w:hAnsi="Calibri"/>
        </w:rPr>
        <w:t>‘</w:t>
      </w:r>
      <w:r w:rsidRPr="008343E1">
        <w:rPr>
          <w:rFonts w:ascii="Calibri" w:hAnsi="Calibri"/>
        </w:rPr>
        <w:t xml:space="preserve">Dual </w:t>
      </w:r>
      <w:r w:rsidR="004E348E" w:rsidRPr="008343E1">
        <w:rPr>
          <w:rFonts w:ascii="Calibri" w:hAnsi="Calibri"/>
        </w:rPr>
        <w:t xml:space="preserve">Processes </w:t>
      </w:r>
      <w:r w:rsidRPr="008343E1">
        <w:rPr>
          <w:rFonts w:ascii="Calibri" w:hAnsi="Calibri"/>
        </w:rPr>
        <w:t xml:space="preserve">in </w:t>
      </w:r>
      <w:r w:rsidR="004E348E" w:rsidRPr="008343E1">
        <w:rPr>
          <w:rFonts w:ascii="Calibri" w:hAnsi="Calibri"/>
        </w:rPr>
        <w:t>Reasoning</w:t>
      </w:r>
      <w:r w:rsidRPr="008343E1">
        <w:rPr>
          <w:rFonts w:ascii="Calibri" w:hAnsi="Calibri"/>
        </w:rPr>
        <w:t>?</w:t>
      </w:r>
      <w:proofErr w:type="gramStart"/>
      <w:r w:rsidR="0002497A" w:rsidRPr="008343E1">
        <w:rPr>
          <w:rFonts w:ascii="Calibri" w:hAnsi="Calibri"/>
        </w:rPr>
        <w:t>’,</w:t>
      </w:r>
      <w:proofErr w:type="gramEnd"/>
      <w:r w:rsidRPr="008343E1">
        <w:rPr>
          <w:rFonts w:ascii="Calibri" w:hAnsi="Calibri"/>
        </w:rPr>
        <w:t xml:space="preserve"> </w:t>
      </w:r>
      <w:r w:rsidRPr="008343E1">
        <w:rPr>
          <w:rFonts w:ascii="Calibri" w:hAnsi="Calibri"/>
          <w:i/>
        </w:rPr>
        <w:t>Cognition</w:t>
      </w:r>
      <w:r w:rsidR="0040417F" w:rsidRPr="008343E1">
        <w:rPr>
          <w:rFonts w:ascii="Calibri" w:hAnsi="Calibri"/>
        </w:rPr>
        <w:t xml:space="preserve">, 3, </w:t>
      </w:r>
      <w:r w:rsidRPr="008343E1">
        <w:rPr>
          <w:rFonts w:ascii="Calibri" w:hAnsi="Calibri"/>
        </w:rPr>
        <w:t>2, pp. 141-54.</w:t>
      </w:r>
    </w:p>
    <w:p w:rsidR="00C7761A"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rPr>
        <w:t xml:space="preserve">WILHITE, B. L., TEYLER, T. J., </w:t>
      </w:r>
      <w:r w:rsidR="00F57F56" w:rsidRPr="008343E1">
        <w:rPr>
          <w:rFonts w:ascii="Calibri" w:hAnsi="Calibri"/>
        </w:rPr>
        <w:t>&amp;</w:t>
      </w:r>
      <w:r w:rsidRPr="008343E1">
        <w:rPr>
          <w:rFonts w:ascii="Calibri" w:hAnsi="Calibri"/>
        </w:rPr>
        <w:t xml:space="preserve"> HENDRICKS, C. (1986)</w:t>
      </w:r>
      <w:r w:rsidR="00D9095B" w:rsidRPr="008343E1">
        <w:rPr>
          <w:rFonts w:ascii="Calibri" w:hAnsi="Calibri"/>
        </w:rPr>
        <w:t>,</w:t>
      </w:r>
      <w:r w:rsidRPr="008343E1">
        <w:rPr>
          <w:rFonts w:ascii="Calibri" w:hAnsi="Calibri"/>
        </w:rPr>
        <w:t xml:space="preserve"> </w:t>
      </w:r>
      <w:r w:rsidR="00D9095B" w:rsidRPr="008343E1">
        <w:rPr>
          <w:rFonts w:ascii="Calibri" w:hAnsi="Calibri"/>
        </w:rPr>
        <w:t>‘</w:t>
      </w:r>
      <w:r w:rsidRPr="008343E1">
        <w:rPr>
          <w:rFonts w:ascii="Calibri" w:hAnsi="Calibri"/>
        </w:rPr>
        <w:t>Functional Relations of the Long-Term Potentiation</w:t>
      </w:r>
      <w:r w:rsidR="00D9095B" w:rsidRPr="008343E1">
        <w:rPr>
          <w:rFonts w:ascii="Calibri" w:hAnsi="Calibri"/>
        </w:rPr>
        <w:t>’,</w:t>
      </w:r>
      <w:r w:rsidRPr="008343E1">
        <w:rPr>
          <w:rFonts w:ascii="Calibri" w:hAnsi="Calibri"/>
        </w:rPr>
        <w:t xml:space="preserve"> </w:t>
      </w:r>
      <w:r w:rsidRPr="008343E1">
        <w:rPr>
          <w:rFonts w:ascii="Calibri" w:hAnsi="Calibri"/>
          <w:i/>
        </w:rPr>
        <w:t xml:space="preserve">Brain Research, </w:t>
      </w:r>
      <w:r w:rsidR="00D9095B" w:rsidRPr="008343E1">
        <w:rPr>
          <w:rFonts w:ascii="Calibri" w:hAnsi="Calibri"/>
        </w:rPr>
        <w:t>365, pp. 54-</w:t>
      </w:r>
      <w:r w:rsidRPr="008343E1">
        <w:rPr>
          <w:rFonts w:ascii="Calibri" w:hAnsi="Calibri"/>
        </w:rPr>
        <w:t>60.</w:t>
      </w:r>
    </w:p>
    <w:p w:rsidR="000708F8" w:rsidRPr="008343E1" w:rsidRDefault="000708F8" w:rsidP="008343E1">
      <w:pPr>
        <w:pStyle w:val="ListParagraph"/>
        <w:numPr>
          <w:ilvl w:val="0"/>
          <w:numId w:val="35"/>
        </w:numPr>
        <w:spacing w:before="60" w:after="60" w:line="276" w:lineRule="auto"/>
        <w:rPr>
          <w:rFonts w:ascii="Calibri" w:hAnsi="Calibri"/>
        </w:rPr>
      </w:pPr>
      <w:r w:rsidRPr="008343E1">
        <w:rPr>
          <w:rFonts w:ascii="Calibri" w:hAnsi="Calibri"/>
          <w:lang w:val="de-DE"/>
        </w:rPr>
        <w:t>YANG, T. T., GALLEN, C. C., RAMACHADRAN, V. S., COBB, S., SCHWARTZ, B. J., &amp; BLOOM, F. E. (1990)</w:t>
      </w:r>
      <w:r w:rsidR="00C7761A" w:rsidRPr="008343E1">
        <w:rPr>
          <w:rFonts w:ascii="Calibri" w:hAnsi="Calibri"/>
          <w:lang w:val="de-DE"/>
        </w:rPr>
        <w:t xml:space="preserve">, </w:t>
      </w:r>
      <w:r w:rsidR="00C7761A" w:rsidRPr="008343E1">
        <w:rPr>
          <w:rFonts w:ascii="Calibri" w:hAnsi="Calibri"/>
        </w:rPr>
        <w:t>‘No</w:t>
      </w:r>
      <w:r w:rsidRPr="008343E1">
        <w:rPr>
          <w:rFonts w:ascii="Calibri" w:hAnsi="Calibri"/>
        </w:rPr>
        <w:t>ninvasive Detection of Cerebral Plasticity in Adult Human Somatosensory Cortex</w:t>
      </w:r>
      <w:r w:rsidR="00C7761A" w:rsidRPr="008343E1">
        <w:rPr>
          <w:rFonts w:ascii="Calibri" w:hAnsi="Calibri"/>
        </w:rPr>
        <w:t>’,</w:t>
      </w:r>
      <w:r w:rsidRPr="008343E1">
        <w:rPr>
          <w:rFonts w:ascii="Calibri" w:hAnsi="Calibri"/>
        </w:rPr>
        <w:t xml:space="preserve"> </w:t>
      </w:r>
      <w:r w:rsidRPr="008343E1">
        <w:rPr>
          <w:rFonts w:ascii="Calibri" w:hAnsi="Calibri"/>
          <w:i/>
        </w:rPr>
        <w:t>Neuroreport</w:t>
      </w:r>
      <w:r w:rsidRPr="008343E1">
        <w:rPr>
          <w:rFonts w:ascii="Calibri" w:hAnsi="Calibri"/>
        </w:rPr>
        <w:t xml:space="preserve">, 5, pp. 701-4. </w:t>
      </w:r>
    </w:p>
    <w:p w:rsidR="00C735CD" w:rsidRPr="008343E1" w:rsidRDefault="00C735CD" w:rsidP="00C735CD">
      <w:pPr>
        <w:spacing w:after="200" w:line="276" w:lineRule="auto"/>
        <w:rPr>
          <w:rFonts w:ascii="Calibri" w:hAnsi="Calibri"/>
          <w:szCs w:val="24"/>
        </w:rPr>
      </w:pPr>
    </w:p>
    <w:p w:rsidR="00E723A1" w:rsidRPr="008343E1" w:rsidRDefault="000708F8" w:rsidP="000708F8">
      <w:pPr>
        <w:pStyle w:val="ListParagraph"/>
        <w:spacing w:after="200" w:line="276" w:lineRule="auto"/>
        <w:ind w:left="0"/>
        <w:contextualSpacing w:val="0"/>
        <w:rPr>
          <w:rFonts w:ascii="Calibri" w:hAnsi="Calibri"/>
        </w:rPr>
      </w:pPr>
      <w:r w:rsidRPr="008343E1">
        <w:rPr>
          <w:rFonts w:ascii="Calibri" w:hAnsi="Calibri"/>
          <w:b/>
        </w:rPr>
        <w:t>NOTES</w:t>
      </w:r>
    </w:p>
    <w:sectPr w:rsidR="00E723A1" w:rsidRPr="008343E1" w:rsidSect="00C735CD">
      <w:headerReference w:type="default" r:id="rId8"/>
      <w:footerReference w:type="even" r:id="rId9"/>
      <w:footerReference w:type="default" r:id="rId10"/>
      <w:pgSz w:w="11906" w:h="16838" w:code="9"/>
      <w:pgMar w:top="1418" w:right="2408" w:bottom="993" w:left="2268" w:header="680" w:footer="680" w:gutter="0"/>
      <w:pgNumType w:start="1"/>
      <w:cols w:sep="1" w:space="340"/>
      <w:titlePg/>
      <w:docGrid w:linePitch="360" w:charSpace="559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5A5" w:rsidRDefault="00DD35A5" w:rsidP="00C735CD">
      <w:r>
        <w:separator/>
      </w:r>
    </w:p>
  </w:endnote>
  <w:endnote w:type="continuationSeparator" w:id="0">
    <w:p w:rsidR="00DD35A5" w:rsidRDefault="00DD35A5" w:rsidP="00C735CD">
      <w:r>
        <w:continuationSeparator/>
      </w:r>
    </w:p>
  </w:endnote>
  <w:endnote w:id="1">
    <w:p w:rsidR="00DD35A5" w:rsidRPr="000708F8" w:rsidRDefault="00DD35A5" w:rsidP="000708F8">
      <w:pPr>
        <w:rPr>
          <w:rFonts w:asciiTheme="majorHAnsi" w:hAnsiTheme="majorHAnsi"/>
          <w:sz w:val="20"/>
        </w:rPr>
      </w:pPr>
      <w:r w:rsidRPr="000708F8">
        <w:rPr>
          <w:rStyle w:val="EndnoteReference"/>
          <w:rFonts w:asciiTheme="majorHAnsi" w:hAnsiTheme="majorHAnsi"/>
          <w:sz w:val="20"/>
        </w:rPr>
        <w:endnoteRef/>
      </w:r>
      <w:r w:rsidRPr="000708F8">
        <w:rPr>
          <w:rFonts w:asciiTheme="majorHAnsi" w:hAnsiTheme="majorHAnsi"/>
          <w:sz w:val="20"/>
        </w:rPr>
        <w:t xml:space="preserve"> </w:t>
      </w:r>
      <w:proofErr w:type="gramStart"/>
      <w:r w:rsidRPr="000708F8">
        <w:rPr>
          <w:rFonts w:asciiTheme="majorHAnsi" w:hAnsiTheme="majorHAnsi"/>
          <w:sz w:val="20"/>
        </w:rPr>
        <w:t>University for the Creative Arts, London, UK (</w:t>
      </w:r>
      <w:hyperlink r:id="rId1" w:history="1">
        <w:r w:rsidRPr="000708F8">
          <w:rPr>
            <w:rStyle w:val="Hyperlink"/>
            <w:rFonts w:asciiTheme="majorHAnsi" w:hAnsiTheme="majorHAnsi"/>
            <w:sz w:val="20"/>
          </w:rPr>
          <w:t>jtrafford2@ucreative.ac.uk</w:t>
        </w:r>
      </w:hyperlink>
      <w:r w:rsidRPr="000708F8">
        <w:rPr>
          <w:rFonts w:asciiTheme="majorHAnsi" w:hAnsiTheme="majorHAnsi"/>
          <w:sz w:val="20"/>
        </w:rPr>
        <w:t>)</w:t>
      </w:r>
      <w:r>
        <w:rPr>
          <w:rFonts w:asciiTheme="majorHAnsi" w:hAnsiTheme="majorHAnsi"/>
          <w:sz w:val="20"/>
        </w:rPr>
        <w:t>.</w:t>
      </w:r>
      <w:proofErr w:type="gramEnd"/>
    </w:p>
  </w:endnote>
  <w:endnote w:id="2">
    <w:p w:rsidR="00DD35A5" w:rsidRPr="000708F8" w:rsidRDefault="00DD35A5" w:rsidP="00CB0982">
      <w:pPr>
        <w:rPr>
          <w:rFonts w:asciiTheme="majorHAnsi" w:hAnsiTheme="majorHAnsi"/>
          <w:sz w:val="20"/>
          <w:lang w:val="en-US"/>
        </w:rPr>
      </w:pPr>
      <w:r w:rsidRPr="000708F8">
        <w:rPr>
          <w:rStyle w:val="EndnoteReference"/>
          <w:rFonts w:asciiTheme="majorHAnsi" w:hAnsiTheme="majorHAnsi"/>
          <w:sz w:val="20"/>
        </w:rPr>
        <w:endnoteRef/>
      </w:r>
      <w:r w:rsidRPr="000708F8">
        <w:rPr>
          <w:rFonts w:asciiTheme="majorHAnsi" w:hAnsiTheme="majorHAnsi"/>
          <w:sz w:val="20"/>
        </w:rPr>
        <w:t xml:space="preserve"> </w:t>
      </w:r>
      <w:proofErr w:type="gramStart"/>
      <w:r w:rsidRPr="000708F8">
        <w:rPr>
          <w:rFonts w:asciiTheme="majorHAnsi" w:hAnsiTheme="majorHAnsi"/>
          <w:sz w:val="20"/>
          <w:lang w:val="en-US"/>
        </w:rPr>
        <w:t>University of Dusseldorf, Germany (</w:t>
      </w:r>
      <w:hyperlink r:id="rId2" w:history="1">
        <w:r w:rsidRPr="000708F8">
          <w:rPr>
            <w:rStyle w:val="Hyperlink"/>
            <w:rFonts w:asciiTheme="majorHAnsi" w:hAnsiTheme="majorHAnsi"/>
            <w:sz w:val="20"/>
          </w:rPr>
          <w:t>atillas@phil.uni-duesseldorf.de</w:t>
        </w:r>
      </w:hyperlink>
      <w:r w:rsidRPr="000708F8">
        <w:rPr>
          <w:rFonts w:asciiTheme="majorHAnsi" w:hAnsiTheme="majorHAnsi"/>
          <w:sz w:val="20"/>
        </w:rPr>
        <w:t>)</w:t>
      </w:r>
      <w:r>
        <w:rPr>
          <w:rFonts w:asciiTheme="majorHAnsi" w:hAnsiTheme="majorHAnsi"/>
          <w:sz w:val="20"/>
        </w:rPr>
        <w:t>.</w:t>
      </w:r>
      <w:proofErr w:type="gramEnd"/>
      <w:r>
        <w:rPr>
          <w:rFonts w:asciiTheme="majorHAnsi" w:hAnsiTheme="majorHAnsi"/>
          <w:sz w:val="20"/>
        </w:rPr>
        <w:t xml:space="preserve"> </w:t>
      </w:r>
    </w:p>
  </w:endnote>
  <w:endnote w:id="3">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The suggestion is that T-1 processes do not tie-up working memory, and so, they are the default mode of </w:t>
      </w:r>
      <w:proofErr w:type="gramStart"/>
      <w:r w:rsidRPr="000708F8">
        <w:rPr>
          <w:rFonts w:asciiTheme="majorHAnsi" w:hAnsiTheme="majorHAnsi"/>
          <w:sz w:val="20"/>
          <w:szCs w:val="20"/>
        </w:rPr>
        <w:t>judgment,</w:t>
      </w:r>
      <w:proofErr w:type="gramEnd"/>
      <w:r w:rsidRPr="000708F8">
        <w:rPr>
          <w:rFonts w:asciiTheme="majorHAnsi" w:hAnsiTheme="majorHAnsi"/>
          <w:sz w:val="20"/>
          <w:szCs w:val="20"/>
        </w:rPr>
        <w:t xml:space="preserve"> see </w:t>
      </w:r>
      <w:r>
        <w:rPr>
          <w:rFonts w:asciiTheme="majorHAnsi" w:hAnsiTheme="majorHAnsi"/>
          <w:sz w:val="20"/>
          <w:szCs w:val="20"/>
        </w:rPr>
        <w:t>[</w:t>
      </w:r>
      <w:r w:rsidRPr="000708F8">
        <w:rPr>
          <w:rFonts w:asciiTheme="majorHAnsi" w:hAnsiTheme="majorHAnsi"/>
          <w:sz w:val="20"/>
          <w:szCs w:val="20"/>
        </w:rPr>
        <w:t xml:space="preserve">Kahneman &amp; Frederick </w:t>
      </w:r>
      <w:r>
        <w:rPr>
          <w:rFonts w:asciiTheme="majorHAnsi" w:hAnsiTheme="majorHAnsi"/>
          <w:sz w:val="20"/>
          <w:szCs w:val="20"/>
        </w:rPr>
        <w:t>(</w:t>
      </w:r>
      <w:r w:rsidRPr="000708F8">
        <w:rPr>
          <w:rFonts w:asciiTheme="majorHAnsi" w:hAnsiTheme="majorHAnsi"/>
          <w:sz w:val="20"/>
          <w:szCs w:val="20"/>
        </w:rPr>
        <w:t>2005</w:t>
      </w:r>
      <w:r>
        <w:rPr>
          <w:rFonts w:asciiTheme="majorHAnsi" w:hAnsiTheme="majorHAnsi"/>
          <w:sz w:val="20"/>
          <w:szCs w:val="20"/>
        </w:rPr>
        <w:t>)]</w:t>
      </w:r>
      <w:r w:rsidRPr="000708F8">
        <w:rPr>
          <w:rFonts w:asciiTheme="majorHAnsi" w:hAnsiTheme="majorHAnsi"/>
          <w:sz w:val="20"/>
          <w:szCs w:val="20"/>
        </w:rPr>
        <w:t>.</w:t>
      </w:r>
    </w:p>
  </w:endnote>
  <w:endnote w:id="4">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Though Osman </w:t>
      </w:r>
      <w:r>
        <w:rPr>
          <w:rFonts w:asciiTheme="majorHAnsi" w:hAnsiTheme="majorHAnsi"/>
          <w:sz w:val="20"/>
          <w:szCs w:val="20"/>
        </w:rPr>
        <w:t>[</w:t>
      </w:r>
      <w:r w:rsidRPr="000708F8">
        <w:rPr>
          <w:rFonts w:asciiTheme="majorHAnsi" w:hAnsiTheme="majorHAnsi"/>
          <w:sz w:val="20"/>
          <w:szCs w:val="20"/>
        </w:rPr>
        <w:t>(2004)</w:t>
      </w:r>
      <w:r>
        <w:rPr>
          <w:rFonts w:asciiTheme="majorHAnsi" w:hAnsiTheme="majorHAnsi"/>
          <w:sz w:val="20"/>
          <w:szCs w:val="20"/>
        </w:rPr>
        <w:t>]</w:t>
      </w:r>
      <w:r w:rsidRPr="000708F8">
        <w:rPr>
          <w:rFonts w:asciiTheme="majorHAnsi" w:hAnsiTheme="majorHAnsi"/>
          <w:sz w:val="20"/>
          <w:szCs w:val="20"/>
        </w:rPr>
        <w:t xml:space="preserve"> defends a uni-model approach.</w:t>
      </w:r>
    </w:p>
  </w:endnote>
  <w:endnote w:id="5">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See also </w:t>
      </w:r>
      <w:r>
        <w:rPr>
          <w:rFonts w:asciiTheme="majorHAnsi" w:hAnsiTheme="majorHAnsi"/>
          <w:sz w:val="20"/>
          <w:szCs w:val="20"/>
        </w:rPr>
        <w:t>[</w:t>
      </w:r>
      <w:r w:rsidRPr="000708F8">
        <w:rPr>
          <w:rFonts w:asciiTheme="majorHAnsi" w:hAnsiTheme="majorHAnsi"/>
          <w:sz w:val="20"/>
          <w:szCs w:val="20"/>
        </w:rPr>
        <w:t>Gould (1992)</w:t>
      </w:r>
      <w:r>
        <w:rPr>
          <w:rFonts w:asciiTheme="majorHAnsi" w:hAnsiTheme="majorHAnsi"/>
          <w:sz w:val="20"/>
          <w:szCs w:val="20"/>
        </w:rPr>
        <w:t>]</w:t>
      </w:r>
      <w:r w:rsidRPr="000708F8">
        <w:rPr>
          <w:rFonts w:asciiTheme="majorHAnsi" w:hAnsiTheme="majorHAnsi"/>
          <w:sz w:val="20"/>
          <w:szCs w:val="20"/>
        </w:rPr>
        <w:t>.</w:t>
      </w:r>
    </w:p>
  </w:endnote>
  <w:endnote w:id="6">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Though see </w:t>
      </w:r>
      <w:r>
        <w:rPr>
          <w:rFonts w:asciiTheme="majorHAnsi" w:hAnsiTheme="majorHAnsi"/>
          <w:sz w:val="20"/>
          <w:szCs w:val="20"/>
        </w:rPr>
        <w:t>[</w:t>
      </w:r>
      <w:r w:rsidRPr="000708F8">
        <w:rPr>
          <w:rFonts w:asciiTheme="majorHAnsi" w:hAnsiTheme="majorHAnsi"/>
          <w:sz w:val="20"/>
          <w:szCs w:val="20"/>
        </w:rPr>
        <w:t>Stenning and van Lambalgen (2004)</w:t>
      </w:r>
      <w:r>
        <w:rPr>
          <w:rFonts w:asciiTheme="majorHAnsi" w:hAnsiTheme="majorHAnsi"/>
          <w:sz w:val="20"/>
          <w:szCs w:val="20"/>
        </w:rPr>
        <w:t>]</w:t>
      </w:r>
      <w:r w:rsidRPr="000708F8">
        <w:rPr>
          <w:rFonts w:asciiTheme="majorHAnsi" w:hAnsiTheme="majorHAnsi"/>
          <w:sz w:val="20"/>
          <w:szCs w:val="20"/>
        </w:rPr>
        <w:t xml:space="preserve">, </w:t>
      </w:r>
      <w:r>
        <w:rPr>
          <w:rFonts w:asciiTheme="majorHAnsi" w:hAnsiTheme="majorHAnsi"/>
          <w:sz w:val="20"/>
          <w:szCs w:val="20"/>
        </w:rPr>
        <w:t xml:space="preserve">as well as </w:t>
      </w:r>
      <w:r w:rsidRPr="000708F8">
        <w:rPr>
          <w:rFonts w:asciiTheme="majorHAnsi" w:hAnsiTheme="majorHAnsi"/>
          <w:sz w:val="20"/>
          <w:szCs w:val="20"/>
        </w:rPr>
        <w:t xml:space="preserve">the discussion in section 4 </w:t>
      </w:r>
      <w:r>
        <w:rPr>
          <w:rFonts w:asciiTheme="majorHAnsi" w:hAnsiTheme="majorHAnsi"/>
          <w:sz w:val="20"/>
          <w:szCs w:val="20"/>
        </w:rPr>
        <w:t>of this paper</w:t>
      </w:r>
      <w:r w:rsidRPr="000708F8">
        <w:rPr>
          <w:rFonts w:asciiTheme="majorHAnsi" w:hAnsiTheme="majorHAnsi"/>
          <w:sz w:val="20"/>
          <w:szCs w:val="20"/>
        </w:rPr>
        <w:t>.</w:t>
      </w:r>
    </w:p>
  </w:endnote>
  <w:endnote w:id="7">
    <w:p w:rsidR="00DD35A5" w:rsidRPr="000708F8" w:rsidRDefault="00DD35A5" w:rsidP="000708F8">
      <w:pPr>
        <w:pStyle w:val="CommentText"/>
        <w:rPr>
          <w:rFonts w:asciiTheme="majorHAnsi" w:hAnsiTheme="majorHAnsi"/>
        </w:rPr>
      </w:pPr>
      <w:r w:rsidRPr="000708F8">
        <w:rPr>
          <w:rStyle w:val="EndnoteReference"/>
          <w:rFonts w:asciiTheme="majorHAnsi" w:hAnsiTheme="majorHAnsi"/>
        </w:rPr>
        <w:endnoteRef/>
      </w:r>
      <w:r w:rsidRPr="000708F8">
        <w:rPr>
          <w:rFonts w:asciiTheme="majorHAnsi" w:hAnsiTheme="majorHAnsi"/>
        </w:rPr>
        <w:t xml:space="preserve"> See </w:t>
      </w:r>
      <w:r>
        <w:rPr>
          <w:rFonts w:asciiTheme="majorHAnsi" w:hAnsiTheme="majorHAnsi"/>
        </w:rPr>
        <w:t>[</w:t>
      </w:r>
      <w:r w:rsidRPr="000708F8">
        <w:rPr>
          <w:rFonts w:asciiTheme="majorHAnsi" w:hAnsiTheme="majorHAnsi"/>
        </w:rPr>
        <w:t xml:space="preserve">Dutilh Novaes </w:t>
      </w:r>
      <w:r w:rsidRPr="000708F8">
        <w:rPr>
          <w:rFonts w:asciiTheme="majorHAnsi" w:hAnsiTheme="majorHAnsi"/>
          <w:lang w:val="en-US"/>
        </w:rPr>
        <w:t>(2012)</w:t>
      </w:r>
      <w:r>
        <w:rPr>
          <w:rFonts w:asciiTheme="majorHAnsi" w:hAnsiTheme="majorHAnsi"/>
          <w:lang w:val="en-US"/>
        </w:rPr>
        <w:t>, esp. ch. 7]</w:t>
      </w:r>
      <w:r w:rsidRPr="000708F8">
        <w:rPr>
          <w:rFonts w:asciiTheme="majorHAnsi" w:hAnsiTheme="majorHAnsi"/>
          <w:lang w:val="en-US"/>
        </w:rPr>
        <w:t xml:space="preserve"> for an extended discussion. </w:t>
      </w:r>
    </w:p>
  </w:endnote>
  <w:endnote w:id="8">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sz w:val="20"/>
          <w:szCs w:val="20"/>
          <w:lang w:val="en-US"/>
        </w:rPr>
        <w:t>We owe this suggestion to an anonymous reviewer.</w:t>
      </w:r>
    </w:p>
  </w:endnote>
  <w:endnote w:id="9">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Deontic tasks or tasks that ask people to reason about known regulations, (“If a person is drinking beer, then the person needs to be over 21 years of age”) are associated with T-1 processes. Indicative tasks – tasks appearing within a context that refers to an arbitrary conditional rule, e.g “if there is a vowel on one side, then there is an even number on the other”.</w:t>
      </w:r>
    </w:p>
  </w:endnote>
  <w:endnote w:id="10">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sz w:val="20"/>
          <w:szCs w:val="20"/>
          <w:lang w:eastAsia="en-US"/>
        </w:rPr>
        <w:t>Note that the point made here is not a semantic one but rather one concerning the makeup of concepts.</w:t>
      </w:r>
    </w:p>
  </w:endnote>
  <w:endnote w:id="11">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sz w:val="20"/>
          <w:szCs w:val="20"/>
          <w:lang w:eastAsia="en-US"/>
        </w:rPr>
        <w:t xml:space="preserve">With regards to widely heterogeneously instantiated concepts, perceptually diverge stimuli are brought together in virtue of a sameness marker, e.g. in the case of </w:t>
      </w:r>
      <w:r w:rsidRPr="000708F8">
        <w:rPr>
          <w:rFonts w:asciiTheme="majorHAnsi" w:hAnsiTheme="majorHAnsi"/>
          <w:smallCaps/>
          <w:sz w:val="20"/>
          <w:szCs w:val="20"/>
          <w:lang w:eastAsia="en-US"/>
        </w:rPr>
        <w:t>danger</w:t>
      </w:r>
      <w:r w:rsidRPr="000708F8">
        <w:rPr>
          <w:rFonts w:asciiTheme="majorHAnsi" w:hAnsiTheme="majorHAnsi"/>
          <w:sz w:val="20"/>
          <w:szCs w:val="20"/>
          <w:lang w:eastAsia="en-US"/>
        </w:rPr>
        <w:t>, a mother’s facial expressions play that role, while language plays a crucial role in the process of acquiring lofty concepts.</w:t>
      </w:r>
    </w:p>
  </w:endnote>
  <w:endnote w:id="12">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sz w:val="20"/>
          <w:szCs w:val="20"/>
          <w:lang w:eastAsia="en-US"/>
        </w:rPr>
        <w:t xml:space="preserve">See </w:t>
      </w:r>
      <w:r>
        <w:rPr>
          <w:rFonts w:asciiTheme="majorHAnsi" w:hAnsiTheme="majorHAnsi"/>
          <w:sz w:val="20"/>
          <w:szCs w:val="20"/>
          <w:lang w:eastAsia="en-US"/>
        </w:rPr>
        <w:t>[Tillas</w:t>
      </w:r>
      <w:r w:rsidRPr="000708F8">
        <w:rPr>
          <w:rFonts w:asciiTheme="majorHAnsi" w:hAnsiTheme="majorHAnsi"/>
          <w:sz w:val="20"/>
          <w:szCs w:val="20"/>
          <w:lang w:eastAsia="en-US"/>
        </w:rPr>
        <w:t xml:space="preserve"> (2014)</w:t>
      </w:r>
      <w:r>
        <w:rPr>
          <w:rFonts w:asciiTheme="majorHAnsi" w:hAnsiTheme="majorHAnsi"/>
          <w:sz w:val="20"/>
          <w:szCs w:val="20"/>
          <w:lang w:eastAsia="en-US"/>
        </w:rPr>
        <w:t>]</w:t>
      </w:r>
      <w:r w:rsidRPr="000708F8">
        <w:rPr>
          <w:rFonts w:asciiTheme="majorHAnsi" w:hAnsiTheme="majorHAnsi"/>
          <w:sz w:val="20"/>
          <w:szCs w:val="20"/>
          <w:lang w:eastAsia="en-US"/>
        </w:rPr>
        <w:t xml:space="preserve"> for a detailed account of abstraction and how type-concepts are formed even though we only have perceptual experiences with particular instances. See also Barsalou’s </w:t>
      </w:r>
      <w:r>
        <w:rPr>
          <w:rFonts w:asciiTheme="majorHAnsi" w:hAnsiTheme="majorHAnsi"/>
          <w:sz w:val="20"/>
          <w:szCs w:val="20"/>
          <w:lang w:eastAsia="en-US"/>
        </w:rPr>
        <w:t>[</w:t>
      </w:r>
      <w:r w:rsidRPr="000708F8">
        <w:rPr>
          <w:rFonts w:asciiTheme="majorHAnsi" w:hAnsiTheme="majorHAnsi"/>
          <w:sz w:val="20"/>
          <w:szCs w:val="20"/>
          <w:lang w:eastAsia="en-US"/>
        </w:rPr>
        <w:t>(1999)</w:t>
      </w:r>
      <w:r>
        <w:rPr>
          <w:rFonts w:asciiTheme="majorHAnsi" w:hAnsiTheme="majorHAnsi"/>
          <w:sz w:val="20"/>
          <w:szCs w:val="20"/>
          <w:lang w:eastAsia="en-US"/>
        </w:rPr>
        <w:t>]</w:t>
      </w:r>
      <w:r w:rsidRPr="000708F8">
        <w:rPr>
          <w:rFonts w:asciiTheme="majorHAnsi" w:hAnsiTheme="majorHAnsi"/>
          <w:sz w:val="20"/>
          <w:szCs w:val="20"/>
          <w:lang w:eastAsia="en-US"/>
        </w:rPr>
        <w:t xml:space="preserve"> perceptual simulation theory where he argues that tokening a concept occurs in virtue of simulating the perceptual experience with its instances.</w:t>
      </w:r>
    </w:p>
  </w:endnote>
  <w:endnote w:id="13">
    <w:p w:rsidR="00DD35A5" w:rsidRPr="000708F8" w:rsidRDefault="00DD35A5" w:rsidP="000708F8">
      <w:pPr>
        <w:rPr>
          <w:rFonts w:asciiTheme="majorHAnsi" w:hAnsiTheme="majorHAnsi"/>
          <w:sz w:val="20"/>
        </w:rPr>
      </w:pPr>
      <w:r w:rsidRPr="000708F8">
        <w:rPr>
          <w:rStyle w:val="EndnoteReference"/>
          <w:rFonts w:asciiTheme="majorHAnsi" w:hAnsiTheme="majorHAnsi"/>
          <w:sz w:val="20"/>
        </w:rPr>
        <w:endnoteRef/>
      </w:r>
      <w:r w:rsidRPr="000708F8">
        <w:rPr>
          <w:rFonts w:asciiTheme="majorHAnsi" w:hAnsiTheme="majorHAnsi"/>
          <w:sz w:val="20"/>
        </w:rPr>
        <w:t xml:space="preserve"> </w:t>
      </w:r>
      <w:r w:rsidRPr="000708F8">
        <w:rPr>
          <w:rFonts w:asciiTheme="majorHAnsi" w:hAnsiTheme="majorHAnsi"/>
          <w:sz w:val="20"/>
          <w:lang w:eastAsia="en-US"/>
        </w:rPr>
        <w:t xml:space="preserve">LTP has been found in various </w:t>
      </w:r>
      <w:r>
        <w:rPr>
          <w:rFonts w:asciiTheme="majorHAnsi" w:hAnsiTheme="majorHAnsi"/>
          <w:sz w:val="20"/>
          <w:lang w:eastAsia="en-US"/>
        </w:rPr>
        <w:t>brain regions such as piriform [</w:t>
      </w:r>
      <w:r w:rsidRPr="000708F8">
        <w:rPr>
          <w:rFonts w:asciiTheme="majorHAnsi" w:hAnsiTheme="majorHAnsi"/>
          <w:sz w:val="20"/>
          <w:lang w:eastAsia="en-US"/>
        </w:rPr>
        <w:t xml:space="preserve">Stripling et al. </w:t>
      </w:r>
      <w:r>
        <w:rPr>
          <w:rFonts w:asciiTheme="majorHAnsi" w:hAnsiTheme="majorHAnsi"/>
          <w:sz w:val="20"/>
          <w:lang w:eastAsia="en-US"/>
        </w:rPr>
        <w:t>(</w:t>
      </w:r>
      <w:r w:rsidRPr="000708F8">
        <w:rPr>
          <w:rFonts w:asciiTheme="majorHAnsi" w:hAnsiTheme="majorHAnsi"/>
          <w:sz w:val="20"/>
          <w:lang w:eastAsia="en-US"/>
        </w:rPr>
        <w:t>1988)</w:t>
      </w:r>
      <w:r>
        <w:rPr>
          <w:rFonts w:asciiTheme="majorHAnsi" w:hAnsiTheme="majorHAnsi"/>
          <w:sz w:val="20"/>
          <w:lang w:eastAsia="en-US"/>
        </w:rPr>
        <w:t>]</w:t>
      </w:r>
      <w:r w:rsidRPr="000708F8">
        <w:rPr>
          <w:rFonts w:asciiTheme="majorHAnsi" w:hAnsiTheme="majorHAnsi"/>
          <w:sz w:val="20"/>
          <w:lang w:eastAsia="en-US"/>
        </w:rPr>
        <w:t xml:space="preserve">, entorhinal </w:t>
      </w:r>
      <w:r>
        <w:rPr>
          <w:rFonts w:asciiTheme="majorHAnsi" w:hAnsiTheme="majorHAnsi"/>
          <w:sz w:val="20"/>
          <w:lang w:eastAsia="en-US"/>
        </w:rPr>
        <w:t>[</w:t>
      </w:r>
      <w:r w:rsidRPr="000708F8">
        <w:rPr>
          <w:rFonts w:asciiTheme="majorHAnsi" w:hAnsiTheme="majorHAnsi"/>
          <w:sz w:val="20"/>
          <w:lang w:eastAsia="en-US"/>
        </w:rPr>
        <w:t xml:space="preserve">Wilhite et al. </w:t>
      </w:r>
      <w:r>
        <w:rPr>
          <w:rFonts w:asciiTheme="majorHAnsi" w:hAnsiTheme="majorHAnsi"/>
          <w:sz w:val="20"/>
          <w:lang w:eastAsia="en-US"/>
        </w:rPr>
        <w:t>(</w:t>
      </w:r>
      <w:r w:rsidRPr="000708F8">
        <w:rPr>
          <w:rFonts w:asciiTheme="majorHAnsi" w:hAnsiTheme="majorHAnsi"/>
          <w:sz w:val="20"/>
          <w:lang w:eastAsia="en-US"/>
        </w:rPr>
        <w:t>1986)</w:t>
      </w:r>
      <w:r>
        <w:rPr>
          <w:rFonts w:asciiTheme="majorHAnsi" w:hAnsiTheme="majorHAnsi"/>
          <w:sz w:val="20"/>
          <w:lang w:eastAsia="en-US"/>
        </w:rPr>
        <w:t>], and prefrontal cortices [</w:t>
      </w:r>
      <w:r w:rsidRPr="000708F8">
        <w:rPr>
          <w:rFonts w:asciiTheme="majorHAnsi" w:hAnsiTheme="majorHAnsi"/>
          <w:sz w:val="20"/>
          <w:lang w:eastAsia="en-US"/>
        </w:rPr>
        <w:t xml:space="preserve">Laroche et al. </w:t>
      </w:r>
      <w:r>
        <w:rPr>
          <w:rFonts w:asciiTheme="majorHAnsi" w:hAnsiTheme="majorHAnsi"/>
          <w:sz w:val="20"/>
          <w:lang w:eastAsia="en-US"/>
        </w:rPr>
        <w:t>(</w:t>
      </w:r>
      <w:r w:rsidRPr="000708F8">
        <w:rPr>
          <w:rFonts w:asciiTheme="majorHAnsi" w:hAnsiTheme="majorHAnsi"/>
          <w:sz w:val="20"/>
          <w:lang w:eastAsia="en-US"/>
        </w:rPr>
        <w:t>1989)</w:t>
      </w:r>
      <w:r>
        <w:rPr>
          <w:rFonts w:asciiTheme="majorHAnsi" w:hAnsiTheme="majorHAnsi"/>
          <w:sz w:val="20"/>
          <w:lang w:eastAsia="en-US"/>
        </w:rPr>
        <w:t>], the septum [</w:t>
      </w:r>
      <w:r w:rsidRPr="000708F8">
        <w:rPr>
          <w:rFonts w:asciiTheme="majorHAnsi" w:hAnsiTheme="majorHAnsi"/>
          <w:sz w:val="20"/>
          <w:lang w:eastAsia="en-US"/>
        </w:rPr>
        <w:t xml:space="preserve">Racine et al. </w:t>
      </w:r>
      <w:r>
        <w:rPr>
          <w:rFonts w:asciiTheme="majorHAnsi" w:hAnsiTheme="majorHAnsi"/>
          <w:sz w:val="20"/>
          <w:lang w:eastAsia="en-US"/>
        </w:rPr>
        <w:t>(</w:t>
      </w:r>
      <w:r w:rsidRPr="000708F8">
        <w:rPr>
          <w:rFonts w:asciiTheme="majorHAnsi" w:hAnsiTheme="majorHAnsi"/>
          <w:sz w:val="20"/>
          <w:lang w:eastAsia="en-US"/>
        </w:rPr>
        <w:t>1983)</w:t>
      </w:r>
      <w:r>
        <w:rPr>
          <w:rFonts w:asciiTheme="majorHAnsi" w:hAnsiTheme="majorHAnsi"/>
          <w:sz w:val="20"/>
          <w:lang w:eastAsia="en-US"/>
        </w:rPr>
        <w:t>], the autonomic [</w:t>
      </w:r>
      <w:r w:rsidRPr="000708F8">
        <w:rPr>
          <w:rFonts w:asciiTheme="majorHAnsi" w:hAnsiTheme="majorHAnsi"/>
          <w:sz w:val="20"/>
          <w:lang w:eastAsia="en-US"/>
        </w:rPr>
        <w:t xml:space="preserve">Libet et al. </w:t>
      </w:r>
      <w:r>
        <w:rPr>
          <w:rFonts w:asciiTheme="majorHAnsi" w:hAnsiTheme="majorHAnsi"/>
          <w:sz w:val="20"/>
          <w:lang w:eastAsia="en-US"/>
        </w:rPr>
        <w:t>(</w:t>
      </w:r>
      <w:r w:rsidRPr="000708F8">
        <w:rPr>
          <w:rFonts w:asciiTheme="majorHAnsi" w:hAnsiTheme="majorHAnsi"/>
          <w:sz w:val="20"/>
          <w:lang w:eastAsia="en-US"/>
        </w:rPr>
        <w:t>1975)</w:t>
      </w:r>
      <w:r>
        <w:rPr>
          <w:rFonts w:asciiTheme="majorHAnsi" w:hAnsiTheme="majorHAnsi"/>
          <w:sz w:val="20"/>
          <w:lang w:eastAsia="en-US"/>
        </w:rPr>
        <w:t>] and superior [</w:t>
      </w:r>
      <w:r w:rsidRPr="000708F8">
        <w:rPr>
          <w:rFonts w:asciiTheme="majorHAnsi" w:hAnsiTheme="majorHAnsi"/>
          <w:sz w:val="20"/>
          <w:lang w:eastAsia="en-US"/>
        </w:rPr>
        <w:t xml:space="preserve">Brown &amp; McAfee </w:t>
      </w:r>
      <w:r>
        <w:rPr>
          <w:rFonts w:asciiTheme="majorHAnsi" w:hAnsiTheme="majorHAnsi"/>
          <w:sz w:val="20"/>
          <w:lang w:eastAsia="en-US"/>
        </w:rPr>
        <w:t>(</w:t>
      </w:r>
      <w:r w:rsidRPr="000708F8">
        <w:rPr>
          <w:rFonts w:asciiTheme="majorHAnsi" w:hAnsiTheme="majorHAnsi"/>
          <w:sz w:val="20"/>
          <w:lang w:eastAsia="en-US"/>
        </w:rPr>
        <w:t>1982)</w:t>
      </w:r>
      <w:r>
        <w:rPr>
          <w:rFonts w:asciiTheme="majorHAnsi" w:hAnsiTheme="majorHAnsi"/>
          <w:sz w:val="20"/>
          <w:lang w:eastAsia="en-US"/>
        </w:rPr>
        <w:t>]</w:t>
      </w:r>
      <w:r w:rsidRPr="000708F8">
        <w:rPr>
          <w:rFonts w:asciiTheme="majorHAnsi" w:hAnsiTheme="majorHAnsi"/>
          <w:sz w:val="20"/>
          <w:lang w:eastAsia="en-US"/>
        </w:rPr>
        <w:t xml:space="preserve"> cervical ganglia, and the v</w:t>
      </w:r>
      <w:r>
        <w:rPr>
          <w:rFonts w:asciiTheme="majorHAnsi" w:hAnsiTheme="majorHAnsi"/>
          <w:sz w:val="20"/>
          <w:lang w:eastAsia="en-US"/>
        </w:rPr>
        <w:t>entral horn of the spinal cord [</w:t>
      </w:r>
      <w:r w:rsidRPr="000708F8">
        <w:rPr>
          <w:rFonts w:asciiTheme="majorHAnsi" w:hAnsiTheme="majorHAnsi"/>
          <w:sz w:val="20"/>
          <w:lang w:eastAsia="en-US"/>
        </w:rPr>
        <w:t xml:space="preserve">Pockett &amp; Figurov </w:t>
      </w:r>
      <w:r>
        <w:rPr>
          <w:rFonts w:asciiTheme="majorHAnsi" w:hAnsiTheme="majorHAnsi"/>
          <w:sz w:val="20"/>
          <w:lang w:eastAsia="en-US"/>
        </w:rPr>
        <w:t>(</w:t>
      </w:r>
      <w:r w:rsidRPr="000708F8">
        <w:rPr>
          <w:rFonts w:asciiTheme="majorHAnsi" w:hAnsiTheme="majorHAnsi"/>
          <w:sz w:val="20"/>
          <w:lang w:eastAsia="en-US"/>
        </w:rPr>
        <w:t>1993)</w:t>
      </w:r>
      <w:r>
        <w:rPr>
          <w:rFonts w:asciiTheme="majorHAnsi" w:hAnsiTheme="majorHAnsi"/>
          <w:sz w:val="20"/>
          <w:lang w:eastAsia="en-US"/>
        </w:rPr>
        <w:t>]</w:t>
      </w:r>
      <w:r w:rsidRPr="000708F8">
        <w:rPr>
          <w:rFonts w:asciiTheme="majorHAnsi" w:hAnsiTheme="majorHAnsi"/>
          <w:sz w:val="20"/>
          <w:lang w:eastAsia="en-US"/>
        </w:rPr>
        <w:t xml:space="preserve">. </w:t>
      </w:r>
      <w:r w:rsidRPr="000708F8">
        <w:rPr>
          <w:rFonts w:asciiTheme="majorHAnsi" w:hAnsiTheme="majorHAnsi"/>
          <w:sz w:val="20"/>
        </w:rPr>
        <w:t>LTP has also been found in v</w:t>
      </w:r>
      <w:r>
        <w:rPr>
          <w:rFonts w:asciiTheme="majorHAnsi" w:hAnsiTheme="majorHAnsi"/>
          <w:sz w:val="20"/>
        </w:rPr>
        <w:t>ertebrate such as the goldfish [</w:t>
      </w:r>
      <w:r w:rsidRPr="000708F8">
        <w:rPr>
          <w:rFonts w:asciiTheme="majorHAnsi" w:hAnsiTheme="majorHAnsi"/>
          <w:sz w:val="20"/>
        </w:rPr>
        <w:t xml:space="preserve">Lewis &amp; Teyler </w:t>
      </w:r>
      <w:r>
        <w:rPr>
          <w:rFonts w:asciiTheme="majorHAnsi" w:hAnsiTheme="majorHAnsi"/>
          <w:sz w:val="20"/>
        </w:rPr>
        <w:t>(</w:t>
      </w:r>
      <w:r w:rsidRPr="000708F8">
        <w:rPr>
          <w:rFonts w:asciiTheme="majorHAnsi" w:hAnsiTheme="majorHAnsi"/>
          <w:sz w:val="20"/>
        </w:rPr>
        <w:t>1986</w:t>
      </w:r>
      <w:r>
        <w:rPr>
          <w:rFonts w:asciiTheme="majorHAnsi" w:hAnsiTheme="majorHAnsi"/>
          <w:sz w:val="20"/>
        </w:rPr>
        <w:t>)</w:t>
      </w:r>
      <w:r w:rsidRPr="000708F8">
        <w:rPr>
          <w:rFonts w:asciiTheme="majorHAnsi" w:hAnsiTheme="majorHAnsi"/>
          <w:sz w:val="20"/>
        </w:rPr>
        <w:t xml:space="preserve">; Yang </w:t>
      </w:r>
      <w:r w:rsidRPr="000708F8">
        <w:rPr>
          <w:rFonts w:asciiTheme="majorHAnsi" w:hAnsiTheme="majorHAnsi"/>
          <w:i/>
          <w:sz w:val="20"/>
        </w:rPr>
        <w:t>et al.</w:t>
      </w:r>
      <w:r w:rsidRPr="000708F8">
        <w:rPr>
          <w:rFonts w:asciiTheme="majorHAnsi" w:hAnsiTheme="majorHAnsi"/>
          <w:sz w:val="20"/>
        </w:rPr>
        <w:t xml:space="preserve"> </w:t>
      </w:r>
      <w:r>
        <w:rPr>
          <w:rFonts w:asciiTheme="majorHAnsi" w:hAnsiTheme="majorHAnsi"/>
          <w:sz w:val="20"/>
        </w:rPr>
        <w:t>(</w:t>
      </w:r>
      <w:r w:rsidRPr="000708F8">
        <w:rPr>
          <w:rFonts w:asciiTheme="majorHAnsi" w:hAnsiTheme="majorHAnsi"/>
          <w:sz w:val="20"/>
        </w:rPr>
        <w:t>1990)</w:t>
      </w:r>
      <w:r>
        <w:rPr>
          <w:rFonts w:asciiTheme="majorHAnsi" w:hAnsiTheme="majorHAnsi"/>
          <w:sz w:val="20"/>
        </w:rPr>
        <w:t>], bullfrog [</w:t>
      </w:r>
      <w:r w:rsidRPr="000708F8">
        <w:rPr>
          <w:rFonts w:asciiTheme="majorHAnsi" w:hAnsiTheme="majorHAnsi"/>
          <w:sz w:val="20"/>
        </w:rPr>
        <w:t xml:space="preserve">Koyano </w:t>
      </w:r>
      <w:r w:rsidRPr="000708F8">
        <w:rPr>
          <w:rFonts w:asciiTheme="majorHAnsi" w:hAnsiTheme="majorHAnsi"/>
          <w:i/>
          <w:sz w:val="20"/>
        </w:rPr>
        <w:t>et al.</w:t>
      </w:r>
      <w:r w:rsidRPr="000708F8">
        <w:rPr>
          <w:rFonts w:asciiTheme="majorHAnsi" w:hAnsiTheme="majorHAnsi"/>
          <w:sz w:val="20"/>
        </w:rPr>
        <w:t xml:space="preserve"> </w:t>
      </w:r>
      <w:r>
        <w:rPr>
          <w:rFonts w:asciiTheme="majorHAnsi" w:hAnsiTheme="majorHAnsi"/>
          <w:sz w:val="20"/>
        </w:rPr>
        <w:t>(</w:t>
      </w:r>
      <w:r w:rsidRPr="000708F8">
        <w:rPr>
          <w:rFonts w:asciiTheme="majorHAnsi" w:hAnsiTheme="majorHAnsi"/>
          <w:sz w:val="20"/>
        </w:rPr>
        <w:t>1985)</w:t>
      </w:r>
      <w:r>
        <w:rPr>
          <w:rFonts w:asciiTheme="majorHAnsi" w:hAnsiTheme="majorHAnsi"/>
          <w:sz w:val="20"/>
        </w:rPr>
        <w:t>]</w:t>
      </w:r>
      <w:r w:rsidRPr="000708F8">
        <w:rPr>
          <w:rFonts w:asciiTheme="majorHAnsi" w:hAnsiTheme="majorHAnsi"/>
          <w:sz w:val="20"/>
        </w:rPr>
        <w:t xml:space="preserve">, bird </w:t>
      </w:r>
      <w:r>
        <w:rPr>
          <w:rFonts w:asciiTheme="majorHAnsi" w:hAnsiTheme="majorHAnsi"/>
          <w:sz w:val="20"/>
        </w:rPr>
        <w:t>[</w:t>
      </w:r>
      <w:r w:rsidRPr="000708F8">
        <w:rPr>
          <w:rFonts w:asciiTheme="majorHAnsi" w:hAnsiTheme="majorHAnsi"/>
          <w:sz w:val="20"/>
        </w:rPr>
        <w:t>Scott &amp; Bennett 1993)</w:t>
      </w:r>
      <w:r>
        <w:rPr>
          <w:rFonts w:asciiTheme="majorHAnsi" w:hAnsiTheme="majorHAnsi"/>
          <w:sz w:val="20"/>
        </w:rPr>
        <w:t>]</w:t>
      </w:r>
      <w:r w:rsidRPr="000708F8">
        <w:rPr>
          <w:rFonts w:asciiTheme="majorHAnsi" w:hAnsiTheme="majorHAnsi"/>
          <w:sz w:val="20"/>
        </w:rPr>
        <w:t xml:space="preserve">, and </w:t>
      </w:r>
      <w:r>
        <w:rPr>
          <w:rFonts w:asciiTheme="majorHAnsi" w:hAnsiTheme="majorHAnsi"/>
          <w:sz w:val="20"/>
        </w:rPr>
        <w:t>lizard [</w:t>
      </w:r>
      <w:r w:rsidRPr="000708F8">
        <w:rPr>
          <w:rFonts w:asciiTheme="majorHAnsi" w:hAnsiTheme="majorHAnsi"/>
          <w:sz w:val="20"/>
        </w:rPr>
        <w:t xml:space="preserve">Larson &amp; Lynch </w:t>
      </w:r>
      <w:r>
        <w:rPr>
          <w:rFonts w:asciiTheme="majorHAnsi" w:hAnsiTheme="majorHAnsi"/>
          <w:sz w:val="20"/>
        </w:rPr>
        <w:t>(</w:t>
      </w:r>
      <w:r w:rsidRPr="000708F8">
        <w:rPr>
          <w:rFonts w:asciiTheme="majorHAnsi" w:hAnsiTheme="majorHAnsi"/>
          <w:sz w:val="20"/>
        </w:rPr>
        <w:t>1985)</w:t>
      </w:r>
      <w:r>
        <w:rPr>
          <w:rFonts w:asciiTheme="majorHAnsi" w:hAnsiTheme="majorHAnsi"/>
          <w:sz w:val="20"/>
        </w:rPr>
        <w:t>]</w:t>
      </w:r>
      <w:r w:rsidRPr="000708F8">
        <w:rPr>
          <w:rFonts w:asciiTheme="majorHAnsi" w:hAnsiTheme="majorHAnsi"/>
          <w:sz w:val="20"/>
        </w:rPr>
        <w:t>. Also, it has been found that LT</w:t>
      </w:r>
      <w:r>
        <w:rPr>
          <w:rFonts w:asciiTheme="majorHAnsi" w:hAnsiTheme="majorHAnsi"/>
          <w:sz w:val="20"/>
        </w:rPr>
        <w:t>P occurs in some invertebrates [</w:t>
      </w:r>
      <w:r w:rsidRPr="000708F8">
        <w:rPr>
          <w:rFonts w:asciiTheme="majorHAnsi" w:hAnsiTheme="majorHAnsi"/>
          <w:sz w:val="20"/>
        </w:rPr>
        <w:t xml:space="preserve">Glanzman </w:t>
      </w:r>
      <w:r>
        <w:rPr>
          <w:rFonts w:asciiTheme="majorHAnsi" w:hAnsiTheme="majorHAnsi"/>
          <w:sz w:val="20"/>
        </w:rPr>
        <w:t>(</w:t>
      </w:r>
      <w:r w:rsidRPr="000708F8">
        <w:rPr>
          <w:rFonts w:asciiTheme="majorHAnsi" w:hAnsiTheme="majorHAnsi"/>
          <w:sz w:val="20"/>
        </w:rPr>
        <w:t>1995</w:t>
      </w:r>
      <w:r>
        <w:rPr>
          <w:rFonts w:asciiTheme="majorHAnsi" w:hAnsiTheme="majorHAnsi"/>
          <w:sz w:val="20"/>
        </w:rPr>
        <w:t>)</w:t>
      </w:r>
      <w:r w:rsidRPr="000708F8">
        <w:rPr>
          <w:rFonts w:asciiTheme="majorHAnsi" w:hAnsiTheme="majorHAnsi"/>
          <w:sz w:val="20"/>
        </w:rPr>
        <w:t xml:space="preserve">; Walters &amp; Byrne </w:t>
      </w:r>
      <w:r>
        <w:rPr>
          <w:rFonts w:asciiTheme="majorHAnsi" w:hAnsiTheme="majorHAnsi"/>
          <w:sz w:val="20"/>
        </w:rPr>
        <w:t>(</w:t>
      </w:r>
      <w:r w:rsidRPr="000708F8">
        <w:rPr>
          <w:rFonts w:asciiTheme="majorHAnsi" w:hAnsiTheme="majorHAnsi"/>
          <w:sz w:val="20"/>
        </w:rPr>
        <w:t>1985)</w:t>
      </w:r>
      <w:r>
        <w:rPr>
          <w:rFonts w:asciiTheme="majorHAnsi" w:hAnsiTheme="majorHAnsi"/>
          <w:sz w:val="20"/>
        </w:rPr>
        <w:t>]</w:t>
      </w:r>
      <w:r w:rsidRPr="000708F8">
        <w:rPr>
          <w:rFonts w:asciiTheme="majorHAnsi" w:hAnsiTheme="majorHAnsi"/>
          <w:sz w:val="20"/>
        </w:rPr>
        <w:t xml:space="preserve"> reviewed in </w:t>
      </w:r>
      <w:r>
        <w:rPr>
          <w:rFonts w:asciiTheme="majorHAnsi" w:hAnsiTheme="majorHAnsi"/>
          <w:sz w:val="20"/>
        </w:rPr>
        <w:t>[</w:t>
      </w:r>
      <w:r w:rsidRPr="000708F8">
        <w:rPr>
          <w:rFonts w:asciiTheme="majorHAnsi" w:hAnsiTheme="majorHAnsi"/>
          <w:iCs/>
          <w:sz w:val="20"/>
        </w:rPr>
        <w:t>Shors and Matzel (1997)</w:t>
      </w:r>
      <w:r>
        <w:rPr>
          <w:rFonts w:asciiTheme="majorHAnsi" w:hAnsiTheme="majorHAnsi"/>
          <w:iCs/>
          <w:sz w:val="20"/>
        </w:rPr>
        <w:t>]</w:t>
      </w:r>
      <w:r w:rsidRPr="000708F8">
        <w:rPr>
          <w:rFonts w:asciiTheme="majorHAnsi" w:hAnsiTheme="majorHAnsi"/>
          <w:sz w:val="20"/>
        </w:rPr>
        <w:t xml:space="preserve">. See also </w:t>
      </w:r>
      <w:r>
        <w:rPr>
          <w:rFonts w:asciiTheme="majorHAnsi" w:hAnsiTheme="majorHAnsi"/>
          <w:sz w:val="20"/>
        </w:rPr>
        <w:t>[</w:t>
      </w:r>
      <w:r w:rsidRPr="000708F8">
        <w:rPr>
          <w:rFonts w:asciiTheme="majorHAnsi" w:hAnsiTheme="majorHAnsi"/>
          <w:sz w:val="20"/>
        </w:rPr>
        <w:t xml:space="preserve">Lomo (1966); Bliss and Lomo (1973); Bliss and Gardner-Medwin, (1973); Martinez </w:t>
      </w:r>
      <w:r w:rsidRPr="000708F8">
        <w:rPr>
          <w:rFonts w:asciiTheme="majorHAnsi" w:hAnsiTheme="majorHAnsi"/>
          <w:i/>
          <w:sz w:val="20"/>
        </w:rPr>
        <w:t>et al.</w:t>
      </w:r>
      <w:r w:rsidRPr="000708F8">
        <w:rPr>
          <w:rFonts w:asciiTheme="majorHAnsi" w:hAnsiTheme="majorHAnsi"/>
          <w:sz w:val="20"/>
        </w:rPr>
        <w:t xml:space="preserve"> (2002)</w:t>
      </w:r>
      <w:r>
        <w:rPr>
          <w:rFonts w:asciiTheme="majorHAnsi" w:hAnsiTheme="majorHAnsi"/>
          <w:sz w:val="20"/>
        </w:rPr>
        <w:t>]</w:t>
      </w:r>
      <w:r w:rsidRPr="000708F8">
        <w:rPr>
          <w:rFonts w:asciiTheme="majorHAnsi" w:hAnsiTheme="majorHAnsi"/>
          <w:sz w:val="20"/>
        </w:rPr>
        <w:t xml:space="preserve">; </w:t>
      </w:r>
      <w:r w:rsidRPr="000708F8">
        <w:rPr>
          <w:rFonts w:asciiTheme="majorHAnsi" w:hAnsiTheme="majorHAnsi"/>
          <w:iCs/>
          <w:sz w:val="20"/>
        </w:rPr>
        <w:t xml:space="preserve">see </w:t>
      </w:r>
      <w:r>
        <w:rPr>
          <w:rFonts w:asciiTheme="majorHAnsi" w:hAnsiTheme="majorHAnsi"/>
          <w:iCs/>
          <w:sz w:val="20"/>
        </w:rPr>
        <w:t>[</w:t>
      </w:r>
      <w:r w:rsidRPr="000708F8">
        <w:rPr>
          <w:rFonts w:asciiTheme="majorHAnsi" w:hAnsiTheme="majorHAnsi"/>
          <w:iCs/>
          <w:sz w:val="20"/>
        </w:rPr>
        <w:t>Shors and Matzel, (1997)</w:t>
      </w:r>
      <w:r>
        <w:rPr>
          <w:rFonts w:asciiTheme="majorHAnsi" w:hAnsiTheme="majorHAnsi"/>
          <w:iCs/>
          <w:sz w:val="20"/>
        </w:rPr>
        <w:t>]</w:t>
      </w:r>
      <w:r w:rsidRPr="000708F8">
        <w:rPr>
          <w:rFonts w:asciiTheme="majorHAnsi" w:hAnsiTheme="majorHAnsi"/>
          <w:iCs/>
          <w:sz w:val="20"/>
        </w:rPr>
        <w:t xml:space="preserve"> for concerns about the role of LTP in learning processes. </w:t>
      </w:r>
      <w:proofErr w:type="gramStart"/>
      <w:r w:rsidRPr="000708F8">
        <w:rPr>
          <w:rFonts w:asciiTheme="majorHAnsi" w:hAnsiTheme="majorHAnsi"/>
          <w:sz w:val="20"/>
        </w:rPr>
        <w:t xml:space="preserve">For a reply to Shors and Matzel see amongst others </w:t>
      </w:r>
      <w:r>
        <w:rPr>
          <w:rFonts w:asciiTheme="majorHAnsi" w:hAnsiTheme="majorHAnsi"/>
          <w:sz w:val="20"/>
        </w:rPr>
        <w:t>[</w:t>
      </w:r>
      <w:r w:rsidRPr="000708F8">
        <w:rPr>
          <w:rFonts w:asciiTheme="majorHAnsi" w:hAnsiTheme="majorHAnsi"/>
          <w:sz w:val="20"/>
        </w:rPr>
        <w:t>Hawkins (1997)</w:t>
      </w:r>
      <w:r>
        <w:rPr>
          <w:rFonts w:asciiTheme="majorHAnsi" w:hAnsiTheme="majorHAnsi"/>
          <w:sz w:val="20"/>
        </w:rPr>
        <w:t>]</w:t>
      </w:r>
      <w:r w:rsidRPr="000708F8">
        <w:rPr>
          <w:rFonts w:asciiTheme="majorHAnsi" w:hAnsiTheme="majorHAnsi"/>
          <w:sz w:val="20"/>
        </w:rPr>
        <w:t>.</w:t>
      </w:r>
      <w:proofErr w:type="gramEnd"/>
      <w:r w:rsidRPr="000708F8">
        <w:rPr>
          <w:rFonts w:asciiTheme="majorHAnsi" w:hAnsiTheme="majorHAnsi"/>
          <w:sz w:val="20"/>
        </w:rPr>
        <w:t xml:space="preserve"> </w:t>
      </w:r>
    </w:p>
  </w:endnote>
  <w:endnote w:id="14">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proofErr w:type="gramStart"/>
      <w:r w:rsidRPr="000708F8">
        <w:rPr>
          <w:rFonts w:asciiTheme="majorHAnsi" w:hAnsiTheme="majorHAnsi"/>
          <w:sz w:val="20"/>
          <w:szCs w:val="20"/>
          <w:lang w:val="en-US"/>
        </w:rPr>
        <w:t xml:space="preserve">E.g. </w:t>
      </w:r>
      <w:r>
        <w:rPr>
          <w:rFonts w:asciiTheme="majorHAnsi" w:hAnsiTheme="majorHAnsi"/>
          <w:sz w:val="20"/>
          <w:szCs w:val="20"/>
          <w:lang w:val="en-US"/>
        </w:rPr>
        <w:t>[</w:t>
      </w:r>
      <w:r w:rsidRPr="000708F8">
        <w:rPr>
          <w:rFonts w:asciiTheme="majorHAnsi" w:hAnsiTheme="majorHAnsi"/>
          <w:sz w:val="20"/>
          <w:szCs w:val="20"/>
          <w:lang w:val="en-US"/>
        </w:rPr>
        <w:t xml:space="preserve">Prinz, </w:t>
      </w:r>
      <w:r>
        <w:rPr>
          <w:rFonts w:asciiTheme="majorHAnsi" w:hAnsiTheme="majorHAnsi"/>
          <w:sz w:val="20"/>
          <w:szCs w:val="20"/>
          <w:lang w:val="en-US"/>
        </w:rPr>
        <w:t>(</w:t>
      </w:r>
      <w:r w:rsidRPr="000708F8">
        <w:rPr>
          <w:rFonts w:asciiTheme="majorHAnsi" w:hAnsiTheme="majorHAnsi"/>
          <w:sz w:val="20"/>
          <w:szCs w:val="20"/>
          <w:lang w:val="en-US"/>
        </w:rPr>
        <w:t>2002</w:t>
      </w:r>
      <w:r>
        <w:rPr>
          <w:rFonts w:asciiTheme="majorHAnsi" w:hAnsiTheme="majorHAnsi"/>
          <w:sz w:val="20"/>
          <w:szCs w:val="20"/>
          <w:lang w:val="en-US"/>
        </w:rPr>
        <w:t>)]</w:t>
      </w:r>
      <w:r w:rsidRPr="000708F8">
        <w:rPr>
          <w:rFonts w:asciiTheme="majorHAnsi" w:hAnsiTheme="majorHAnsi"/>
          <w:sz w:val="20"/>
          <w:szCs w:val="20"/>
          <w:lang w:val="en-US"/>
        </w:rPr>
        <w:t>.</w:t>
      </w:r>
      <w:proofErr w:type="gramEnd"/>
    </w:p>
  </w:endnote>
  <w:endnote w:id="15">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The above claim about top-down effects in perception is similar to Elman &amp; McClelland’s </w:t>
      </w:r>
      <w:r>
        <w:rPr>
          <w:rFonts w:asciiTheme="majorHAnsi" w:hAnsiTheme="majorHAnsi"/>
          <w:sz w:val="20"/>
          <w:szCs w:val="20"/>
        </w:rPr>
        <w:t>[</w:t>
      </w:r>
      <w:r w:rsidRPr="000708F8">
        <w:rPr>
          <w:rFonts w:asciiTheme="majorHAnsi" w:hAnsiTheme="majorHAnsi"/>
          <w:sz w:val="20"/>
          <w:szCs w:val="20"/>
        </w:rPr>
        <w:t>(1986)</w:t>
      </w:r>
      <w:r>
        <w:rPr>
          <w:rFonts w:asciiTheme="majorHAnsi" w:hAnsiTheme="majorHAnsi"/>
          <w:sz w:val="20"/>
          <w:szCs w:val="20"/>
        </w:rPr>
        <w:t>]</w:t>
      </w:r>
      <w:r w:rsidRPr="000708F8">
        <w:rPr>
          <w:rFonts w:asciiTheme="majorHAnsi" w:hAnsiTheme="majorHAnsi"/>
          <w:sz w:val="20"/>
          <w:szCs w:val="20"/>
        </w:rPr>
        <w:t xml:space="preserve"> ‘</w:t>
      </w:r>
      <w:r>
        <w:rPr>
          <w:rFonts w:asciiTheme="majorHAnsi" w:hAnsiTheme="majorHAnsi"/>
          <w:sz w:val="20"/>
          <w:szCs w:val="20"/>
        </w:rPr>
        <w:t xml:space="preserve">TRACE </w:t>
      </w:r>
      <w:r w:rsidRPr="000708F8">
        <w:rPr>
          <w:rFonts w:asciiTheme="majorHAnsi" w:hAnsiTheme="majorHAnsi"/>
          <w:sz w:val="20"/>
          <w:szCs w:val="20"/>
        </w:rPr>
        <w:t>Model’.</w:t>
      </w:r>
    </w:p>
  </w:endnote>
  <w:endnote w:id="16">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See </w:t>
      </w:r>
      <w:r>
        <w:rPr>
          <w:rFonts w:asciiTheme="majorHAnsi" w:hAnsiTheme="majorHAnsi"/>
          <w:sz w:val="20"/>
          <w:szCs w:val="20"/>
        </w:rPr>
        <w:t xml:space="preserve">[Spivey </w:t>
      </w:r>
      <w:r w:rsidR="0083450C">
        <w:rPr>
          <w:rFonts w:asciiTheme="majorHAnsi" w:hAnsiTheme="majorHAnsi"/>
          <w:sz w:val="20"/>
          <w:szCs w:val="20"/>
        </w:rPr>
        <w:t>&amp;</w:t>
      </w:r>
      <w:r>
        <w:rPr>
          <w:rFonts w:asciiTheme="majorHAnsi" w:hAnsiTheme="majorHAnsi"/>
          <w:sz w:val="20"/>
          <w:szCs w:val="20"/>
        </w:rPr>
        <w:t xml:space="preserve"> Geng</w:t>
      </w:r>
      <w:r w:rsidRPr="000708F8">
        <w:rPr>
          <w:rFonts w:asciiTheme="majorHAnsi" w:hAnsiTheme="majorHAnsi"/>
          <w:sz w:val="20"/>
          <w:szCs w:val="20"/>
        </w:rPr>
        <w:t xml:space="preserve"> </w:t>
      </w:r>
      <w:r>
        <w:rPr>
          <w:rFonts w:asciiTheme="majorHAnsi" w:hAnsiTheme="majorHAnsi"/>
          <w:sz w:val="20"/>
          <w:szCs w:val="20"/>
        </w:rPr>
        <w:t>(</w:t>
      </w:r>
      <w:r w:rsidRPr="000708F8">
        <w:rPr>
          <w:rFonts w:asciiTheme="majorHAnsi" w:hAnsiTheme="majorHAnsi"/>
          <w:sz w:val="20"/>
          <w:szCs w:val="20"/>
        </w:rPr>
        <w:t>2001</w:t>
      </w:r>
      <w:r>
        <w:rPr>
          <w:rFonts w:asciiTheme="majorHAnsi" w:hAnsiTheme="majorHAnsi"/>
          <w:sz w:val="20"/>
          <w:szCs w:val="20"/>
        </w:rPr>
        <w:t>)</w:t>
      </w:r>
      <w:r w:rsidRPr="000708F8">
        <w:rPr>
          <w:rFonts w:asciiTheme="majorHAnsi" w:hAnsiTheme="majorHAnsi"/>
          <w:sz w:val="20"/>
          <w:szCs w:val="20"/>
        </w:rPr>
        <w:t xml:space="preserve">; </w:t>
      </w:r>
      <w:r>
        <w:rPr>
          <w:rFonts w:asciiTheme="majorHAnsi" w:hAnsiTheme="majorHAnsi"/>
          <w:sz w:val="20"/>
          <w:szCs w:val="20"/>
          <w:lang w:val="en-US"/>
        </w:rPr>
        <w:t xml:space="preserve">Chao, Haxby </w:t>
      </w:r>
      <w:r w:rsidR="0083450C">
        <w:rPr>
          <w:rFonts w:asciiTheme="majorHAnsi" w:hAnsiTheme="majorHAnsi"/>
          <w:sz w:val="20"/>
          <w:szCs w:val="20"/>
          <w:lang w:val="en-US"/>
        </w:rPr>
        <w:t>&amp;</w:t>
      </w:r>
      <w:r>
        <w:rPr>
          <w:rFonts w:asciiTheme="majorHAnsi" w:hAnsiTheme="majorHAnsi"/>
          <w:sz w:val="20"/>
          <w:szCs w:val="20"/>
          <w:lang w:val="en-US"/>
        </w:rPr>
        <w:t xml:space="preserve"> Martin</w:t>
      </w:r>
      <w:r w:rsidRPr="000708F8">
        <w:rPr>
          <w:rFonts w:asciiTheme="majorHAnsi" w:hAnsiTheme="majorHAnsi"/>
          <w:sz w:val="20"/>
          <w:szCs w:val="20"/>
          <w:lang w:val="en-US"/>
        </w:rPr>
        <w:t xml:space="preserve"> </w:t>
      </w:r>
      <w:r>
        <w:rPr>
          <w:rFonts w:asciiTheme="majorHAnsi" w:hAnsiTheme="majorHAnsi"/>
          <w:sz w:val="20"/>
          <w:szCs w:val="20"/>
          <w:lang w:val="en-US"/>
        </w:rPr>
        <w:t>(</w:t>
      </w:r>
      <w:r w:rsidRPr="000708F8">
        <w:rPr>
          <w:rFonts w:asciiTheme="majorHAnsi" w:hAnsiTheme="majorHAnsi"/>
          <w:sz w:val="20"/>
          <w:szCs w:val="20"/>
          <w:lang w:val="en-US"/>
        </w:rPr>
        <w:t>1999</w:t>
      </w:r>
      <w:r>
        <w:rPr>
          <w:rFonts w:asciiTheme="majorHAnsi" w:hAnsiTheme="majorHAnsi"/>
          <w:sz w:val="20"/>
          <w:szCs w:val="20"/>
          <w:lang w:val="en-US"/>
        </w:rPr>
        <w:t>)</w:t>
      </w:r>
      <w:r w:rsidRPr="000708F8">
        <w:rPr>
          <w:rFonts w:asciiTheme="majorHAnsi" w:hAnsiTheme="majorHAnsi"/>
          <w:sz w:val="20"/>
          <w:szCs w:val="20"/>
        </w:rPr>
        <w:t xml:space="preserve">; </w:t>
      </w:r>
      <w:r w:rsidRPr="000708F8">
        <w:rPr>
          <w:rFonts w:asciiTheme="majorHAnsi" w:hAnsiTheme="majorHAnsi"/>
          <w:bCs/>
          <w:sz w:val="20"/>
          <w:szCs w:val="20"/>
        </w:rPr>
        <w:t>De</w:t>
      </w:r>
      <w:r>
        <w:rPr>
          <w:rFonts w:asciiTheme="majorHAnsi" w:hAnsiTheme="majorHAnsi"/>
          <w:bCs/>
          <w:sz w:val="20"/>
          <w:szCs w:val="20"/>
        </w:rPr>
        <w:t xml:space="preserve">marais </w:t>
      </w:r>
      <w:r w:rsidR="0083450C">
        <w:rPr>
          <w:rFonts w:asciiTheme="majorHAnsi" w:hAnsiTheme="majorHAnsi"/>
          <w:bCs/>
          <w:sz w:val="20"/>
          <w:szCs w:val="20"/>
        </w:rPr>
        <w:t>&amp;</w:t>
      </w:r>
      <w:r>
        <w:rPr>
          <w:rFonts w:asciiTheme="majorHAnsi" w:hAnsiTheme="majorHAnsi"/>
          <w:bCs/>
          <w:sz w:val="20"/>
          <w:szCs w:val="20"/>
        </w:rPr>
        <w:t xml:space="preserve"> Cohen</w:t>
      </w:r>
      <w:r w:rsidRPr="000708F8">
        <w:rPr>
          <w:rFonts w:asciiTheme="majorHAnsi" w:hAnsiTheme="majorHAnsi"/>
          <w:bCs/>
          <w:sz w:val="20"/>
          <w:szCs w:val="20"/>
        </w:rPr>
        <w:t xml:space="preserve"> </w:t>
      </w:r>
      <w:r>
        <w:rPr>
          <w:rFonts w:asciiTheme="majorHAnsi" w:hAnsiTheme="majorHAnsi"/>
          <w:bCs/>
          <w:sz w:val="20"/>
          <w:szCs w:val="20"/>
        </w:rPr>
        <w:t>(</w:t>
      </w:r>
      <w:r w:rsidRPr="000708F8">
        <w:rPr>
          <w:rFonts w:asciiTheme="majorHAnsi" w:hAnsiTheme="majorHAnsi"/>
          <w:bCs/>
          <w:sz w:val="20"/>
          <w:szCs w:val="20"/>
        </w:rPr>
        <w:t>1997</w:t>
      </w:r>
      <w:r>
        <w:rPr>
          <w:rFonts w:asciiTheme="majorHAnsi" w:hAnsiTheme="majorHAnsi"/>
          <w:bCs/>
          <w:sz w:val="20"/>
          <w:szCs w:val="20"/>
        </w:rPr>
        <w:t>)]</w:t>
      </w:r>
      <w:r w:rsidRPr="000708F8">
        <w:rPr>
          <w:rFonts w:asciiTheme="majorHAnsi" w:hAnsiTheme="majorHAnsi"/>
          <w:bCs/>
          <w:sz w:val="20"/>
          <w:szCs w:val="20"/>
        </w:rPr>
        <w:t xml:space="preserve"> for </w:t>
      </w:r>
      <w:r w:rsidRPr="000708F8">
        <w:rPr>
          <w:rFonts w:asciiTheme="majorHAnsi" w:hAnsiTheme="majorHAnsi"/>
          <w:sz w:val="20"/>
          <w:szCs w:val="20"/>
        </w:rPr>
        <w:t>evidence in support of this claim.</w:t>
      </w:r>
    </w:p>
  </w:endnote>
  <w:endnote w:id="17">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Consider also that neurons in different areas of the visual cortex respond selectively to different stimuli, e.g. bars and edges at preferred orientations (V1), while other neurons to complex shapes and contours (V2 and V4), and visual motion (medial superior temporal area). These response selectivities are often understood in terms of hierarchical predictive coding of natural inputs. For example, </w:t>
      </w:r>
      <w:r>
        <w:rPr>
          <w:rFonts w:asciiTheme="majorHAnsi" w:hAnsiTheme="majorHAnsi"/>
          <w:sz w:val="20"/>
          <w:szCs w:val="20"/>
        </w:rPr>
        <w:t>[</w:t>
      </w:r>
      <w:r w:rsidRPr="000708F8">
        <w:rPr>
          <w:rFonts w:asciiTheme="majorHAnsi" w:hAnsiTheme="majorHAnsi"/>
          <w:sz w:val="20"/>
          <w:szCs w:val="20"/>
        </w:rPr>
        <w:t xml:space="preserve">Rao </w:t>
      </w:r>
      <w:r w:rsidR="0083450C">
        <w:rPr>
          <w:rFonts w:asciiTheme="majorHAnsi" w:hAnsiTheme="majorHAnsi"/>
          <w:sz w:val="20"/>
          <w:szCs w:val="20"/>
        </w:rPr>
        <w:t>&amp;</w:t>
      </w:r>
      <w:r w:rsidRPr="000708F8">
        <w:rPr>
          <w:rFonts w:asciiTheme="majorHAnsi" w:hAnsiTheme="majorHAnsi"/>
          <w:sz w:val="20"/>
          <w:szCs w:val="20"/>
        </w:rPr>
        <w:t xml:space="preserve"> Ballard (1999)</w:t>
      </w:r>
      <w:r>
        <w:rPr>
          <w:rFonts w:asciiTheme="majorHAnsi" w:hAnsiTheme="majorHAnsi"/>
          <w:sz w:val="20"/>
          <w:szCs w:val="20"/>
        </w:rPr>
        <w:t>]</w:t>
      </w:r>
      <w:r w:rsidRPr="000708F8">
        <w:rPr>
          <w:rFonts w:asciiTheme="majorHAnsi" w:hAnsiTheme="majorHAnsi"/>
          <w:sz w:val="20"/>
          <w:szCs w:val="20"/>
        </w:rPr>
        <w:t xml:space="preserve"> propose a hierarchical neural network in which top-down feedback connections from higher order visual cortical areas carry predictions of lower-level neural activities, while the bottom-up connections convey the residual errors in prediction. See also </w:t>
      </w:r>
      <w:r>
        <w:rPr>
          <w:rFonts w:asciiTheme="majorHAnsi" w:hAnsiTheme="majorHAnsi"/>
          <w:sz w:val="20"/>
          <w:szCs w:val="20"/>
        </w:rPr>
        <w:t>[</w:t>
      </w:r>
      <w:r w:rsidRPr="000708F8">
        <w:rPr>
          <w:rFonts w:asciiTheme="majorHAnsi" w:hAnsiTheme="majorHAnsi"/>
          <w:sz w:val="20"/>
          <w:szCs w:val="20"/>
        </w:rPr>
        <w:t xml:space="preserve">Huang </w:t>
      </w:r>
      <w:r w:rsidR="0083450C">
        <w:rPr>
          <w:rFonts w:asciiTheme="majorHAnsi" w:hAnsiTheme="majorHAnsi"/>
          <w:sz w:val="20"/>
          <w:szCs w:val="20"/>
        </w:rPr>
        <w:t>&amp;</w:t>
      </w:r>
      <w:r w:rsidRPr="000708F8">
        <w:rPr>
          <w:rFonts w:asciiTheme="majorHAnsi" w:hAnsiTheme="majorHAnsi"/>
          <w:sz w:val="20"/>
          <w:szCs w:val="20"/>
        </w:rPr>
        <w:t xml:space="preserve"> Rao (2011)</w:t>
      </w:r>
      <w:r>
        <w:rPr>
          <w:rFonts w:asciiTheme="majorHAnsi" w:hAnsiTheme="majorHAnsi"/>
          <w:sz w:val="20"/>
          <w:szCs w:val="20"/>
        </w:rPr>
        <w:t>]</w:t>
      </w:r>
      <w:r w:rsidRPr="000708F8">
        <w:rPr>
          <w:rFonts w:asciiTheme="majorHAnsi" w:hAnsiTheme="majorHAnsi"/>
          <w:sz w:val="20"/>
          <w:szCs w:val="20"/>
        </w:rPr>
        <w:t xml:space="preserve"> for a review, and </w:t>
      </w:r>
      <w:r>
        <w:rPr>
          <w:rFonts w:asciiTheme="majorHAnsi" w:hAnsiTheme="majorHAnsi"/>
          <w:sz w:val="20"/>
          <w:szCs w:val="20"/>
        </w:rPr>
        <w:t>[</w:t>
      </w:r>
      <w:r w:rsidRPr="000708F8">
        <w:rPr>
          <w:rFonts w:asciiTheme="majorHAnsi" w:hAnsiTheme="majorHAnsi"/>
          <w:sz w:val="20"/>
          <w:szCs w:val="20"/>
        </w:rPr>
        <w:t xml:space="preserve">Clark </w:t>
      </w:r>
      <w:r>
        <w:rPr>
          <w:rFonts w:asciiTheme="majorHAnsi" w:hAnsiTheme="majorHAnsi"/>
          <w:sz w:val="20"/>
          <w:szCs w:val="20"/>
        </w:rPr>
        <w:t>(</w:t>
      </w:r>
      <w:r w:rsidRPr="000708F8">
        <w:rPr>
          <w:rFonts w:asciiTheme="majorHAnsi" w:hAnsiTheme="majorHAnsi"/>
          <w:sz w:val="20"/>
          <w:szCs w:val="20"/>
        </w:rPr>
        <w:t>2013</w:t>
      </w:r>
      <w:r>
        <w:rPr>
          <w:rFonts w:asciiTheme="majorHAnsi" w:hAnsiTheme="majorHAnsi"/>
          <w:sz w:val="20"/>
          <w:szCs w:val="20"/>
        </w:rPr>
        <w:t>)]</w:t>
      </w:r>
      <w:r w:rsidRPr="000708F8">
        <w:rPr>
          <w:rFonts w:asciiTheme="majorHAnsi" w:hAnsiTheme="majorHAnsi"/>
          <w:sz w:val="20"/>
          <w:szCs w:val="20"/>
        </w:rPr>
        <w:t xml:space="preserve"> for a detailed discussion of related issues.</w:t>
      </w:r>
    </w:p>
  </w:endnote>
  <w:endnote w:id="18">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It is worth clarifying at this point that we allow that some representational content may be nonconceptual, </w:t>
      </w:r>
      <w:r w:rsidRPr="000708F8">
        <w:rPr>
          <w:rFonts w:asciiTheme="majorHAnsi" w:hAnsiTheme="majorHAnsi"/>
          <w:sz w:val="20"/>
          <w:szCs w:val="20"/>
          <w:lang w:eastAsia="en-US"/>
        </w:rPr>
        <w:t xml:space="preserve">e.g. representations prior becoming parts of concepts. Note that given that pre-conceptual-representations lack the rich cognitive role properties of concepts, it might be superfluous or even misleading to talk about </w:t>
      </w:r>
      <w:r w:rsidRPr="000708F8">
        <w:rPr>
          <w:rFonts w:asciiTheme="majorHAnsi" w:hAnsiTheme="majorHAnsi"/>
          <w:i/>
          <w:sz w:val="20"/>
          <w:szCs w:val="20"/>
          <w:lang w:eastAsia="en-US"/>
        </w:rPr>
        <w:t>content</w:t>
      </w:r>
      <w:r w:rsidRPr="000708F8">
        <w:rPr>
          <w:rFonts w:asciiTheme="majorHAnsi" w:hAnsiTheme="majorHAnsi"/>
          <w:sz w:val="20"/>
          <w:szCs w:val="20"/>
          <w:lang w:eastAsia="en-US"/>
        </w:rPr>
        <w:t xml:space="preserve">. We do not further elaborate on this issue here, </w:t>
      </w:r>
      <w:r w:rsidRPr="000708F8">
        <w:rPr>
          <w:rFonts w:asciiTheme="majorHAnsi" w:hAnsiTheme="majorHAnsi"/>
          <w:sz w:val="20"/>
          <w:szCs w:val="20"/>
        </w:rPr>
        <w:t xml:space="preserve">though see </w:t>
      </w:r>
      <w:r>
        <w:rPr>
          <w:rFonts w:asciiTheme="majorHAnsi" w:hAnsiTheme="majorHAnsi"/>
          <w:sz w:val="20"/>
          <w:szCs w:val="20"/>
        </w:rPr>
        <w:t>[</w:t>
      </w:r>
      <w:r w:rsidRPr="000708F8">
        <w:rPr>
          <w:rFonts w:asciiTheme="majorHAnsi" w:hAnsiTheme="majorHAnsi"/>
          <w:sz w:val="20"/>
          <w:szCs w:val="20"/>
        </w:rPr>
        <w:t>Mcdowell (1994)</w:t>
      </w:r>
      <w:r>
        <w:rPr>
          <w:rFonts w:asciiTheme="majorHAnsi" w:hAnsiTheme="majorHAnsi"/>
          <w:sz w:val="20"/>
          <w:szCs w:val="20"/>
        </w:rPr>
        <w:t>]</w:t>
      </w:r>
      <w:r w:rsidRPr="000708F8">
        <w:rPr>
          <w:rFonts w:asciiTheme="majorHAnsi" w:hAnsiTheme="majorHAnsi"/>
          <w:sz w:val="20"/>
          <w:szCs w:val="20"/>
        </w:rPr>
        <w:t xml:space="preserve"> for arguments against this line of thought</w:t>
      </w:r>
      <w:r w:rsidRPr="000708F8">
        <w:rPr>
          <w:rFonts w:asciiTheme="majorHAnsi" w:hAnsiTheme="majorHAnsi"/>
          <w:sz w:val="20"/>
          <w:szCs w:val="20"/>
          <w:lang w:eastAsia="en-US"/>
        </w:rPr>
        <w:t xml:space="preserve">; see also </w:t>
      </w:r>
      <w:r>
        <w:rPr>
          <w:rFonts w:asciiTheme="majorHAnsi" w:hAnsiTheme="majorHAnsi"/>
          <w:sz w:val="20"/>
          <w:szCs w:val="20"/>
          <w:lang w:eastAsia="en-US"/>
        </w:rPr>
        <w:t>[</w:t>
      </w:r>
      <w:r w:rsidRPr="000708F8">
        <w:rPr>
          <w:rFonts w:asciiTheme="majorHAnsi" w:hAnsiTheme="majorHAnsi"/>
          <w:sz w:val="20"/>
          <w:szCs w:val="20"/>
          <w:lang w:eastAsia="en-US"/>
        </w:rPr>
        <w:t>Stalnaker (1998)</w:t>
      </w:r>
      <w:r>
        <w:rPr>
          <w:rFonts w:asciiTheme="majorHAnsi" w:hAnsiTheme="majorHAnsi"/>
          <w:sz w:val="20"/>
          <w:szCs w:val="20"/>
          <w:lang w:eastAsia="en-US"/>
        </w:rPr>
        <w:t>]</w:t>
      </w:r>
      <w:r w:rsidRPr="000708F8">
        <w:rPr>
          <w:rFonts w:asciiTheme="majorHAnsi" w:hAnsiTheme="majorHAnsi"/>
          <w:sz w:val="20"/>
          <w:szCs w:val="20"/>
          <w:lang w:eastAsia="en-US"/>
        </w:rPr>
        <w:t xml:space="preserve"> for arguments for nonconceptual content.</w:t>
      </w:r>
    </w:p>
  </w:endnote>
  <w:endnote w:id="19">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Endogenous control over a given concept is acquired by associating the set of perceptual representations that comprises the concept in question to a perceptual representation of a word or goal-directed actions over which they do have endogenous control. The claim is that concepts inherit the endogenous control that we have over utterances or goal-directed action etc. In a bit more detail, human agents have the ability to manipulate external objects in relationships of agency towards them; what is argued here is that we can piggyback on that ability to manipulate and direct our own thinking. In this sense, given that human subjects have endogenous control over their production of linguistic items, to the extent that we are able to produce linguistic utterances at will (or silent talking to ourselves). It is this executive control over linguistic utterances that gives us endogenous control over our thoughts. See </w:t>
      </w:r>
      <w:r>
        <w:rPr>
          <w:rFonts w:asciiTheme="majorHAnsi" w:hAnsiTheme="majorHAnsi"/>
          <w:sz w:val="20"/>
          <w:szCs w:val="20"/>
        </w:rPr>
        <w:t>[Tillas</w:t>
      </w:r>
      <w:r w:rsidRPr="000708F8">
        <w:rPr>
          <w:rFonts w:asciiTheme="majorHAnsi" w:hAnsiTheme="majorHAnsi"/>
          <w:sz w:val="20"/>
          <w:szCs w:val="20"/>
        </w:rPr>
        <w:t xml:space="preserve"> </w:t>
      </w:r>
      <w:r>
        <w:rPr>
          <w:rFonts w:asciiTheme="majorHAnsi" w:hAnsiTheme="majorHAnsi"/>
          <w:sz w:val="20"/>
          <w:szCs w:val="20"/>
        </w:rPr>
        <w:t>(</w:t>
      </w:r>
      <w:r w:rsidRPr="000708F8">
        <w:rPr>
          <w:rFonts w:asciiTheme="majorHAnsi" w:hAnsiTheme="majorHAnsi"/>
          <w:sz w:val="20"/>
          <w:szCs w:val="20"/>
        </w:rPr>
        <w:t>2010</w:t>
      </w:r>
      <w:r>
        <w:rPr>
          <w:rFonts w:asciiTheme="majorHAnsi" w:hAnsiTheme="majorHAnsi"/>
          <w:sz w:val="20"/>
          <w:szCs w:val="20"/>
        </w:rPr>
        <w:t xml:space="preserve">)] </w:t>
      </w:r>
      <w:r w:rsidRPr="000708F8">
        <w:rPr>
          <w:rFonts w:asciiTheme="majorHAnsi" w:hAnsiTheme="majorHAnsi"/>
          <w:sz w:val="20"/>
          <w:szCs w:val="20"/>
        </w:rPr>
        <w:t>for a detailed analysis.</w:t>
      </w:r>
    </w:p>
  </w:endnote>
  <w:endnote w:id="20">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Certain kinds of mental states, like emotions for instance, allow associations to be formed after only one or in any case very few repetitions.</w:t>
      </w:r>
    </w:p>
  </w:endnote>
  <w:endnote w:id="21">
    <w:p w:rsidR="00DD35A5" w:rsidRPr="000708F8" w:rsidRDefault="00DD35A5" w:rsidP="000708F8">
      <w:pPr>
        <w:pStyle w:val="EndnoteText"/>
        <w:rPr>
          <w:rFonts w:asciiTheme="majorHAnsi" w:hAnsiTheme="majorHAnsi"/>
          <w:sz w:val="20"/>
          <w:szCs w:val="20"/>
          <w:lang w:eastAsia="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sz w:val="20"/>
          <w:szCs w:val="20"/>
          <w:lang w:eastAsia="en-US"/>
        </w:rPr>
        <w:t xml:space="preserve">See </w:t>
      </w:r>
      <w:r>
        <w:rPr>
          <w:rFonts w:asciiTheme="majorHAnsi" w:hAnsiTheme="majorHAnsi"/>
          <w:sz w:val="20"/>
          <w:szCs w:val="20"/>
          <w:lang w:eastAsia="en-US"/>
        </w:rPr>
        <w:t>[</w:t>
      </w:r>
      <w:r w:rsidRPr="000708F8">
        <w:rPr>
          <w:rFonts w:asciiTheme="majorHAnsi" w:hAnsiTheme="majorHAnsi"/>
          <w:sz w:val="20"/>
          <w:szCs w:val="20"/>
          <w:lang w:eastAsia="en-US"/>
        </w:rPr>
        <w:t xml:space="preserve">Meyer </w:t>
      </w:r>
      <w:r w:rsidR="0083450C">
        <w:rPr>
          <w:rFonts w:asciiTheme="majorHAnsi" w:hAnsiTheme="majorHAnsi"/>
          <w:sz w:val="20"/>
          <w:szCs w:val="20"/>
          <w:lang w:eastAsia="en-US"/>
        </w:rPr>
        <w:t>&amp;</w:t>
      </w:r>
      <w:r w:rsidRPr="000708F8">
        <w:rPr>
          <w:rFonts w:asciiTheme="majorHAnsi" w:hAnsiTheme="majorHAnsi"/>
          <w:sz w:val="20"/>
          <w:szCs w:val="20"/>
          <w:lang w:eastAsia="en-US"/>
        </w:rPr>
        <w:t xml:space="preserve"> Schvaneveldt (1971)</w:t>
      </w:r>
      <w:r w:rsidR="00D523B1">
        <w:rPr>
          <w:rFonts w:asciiTheme="majorHAnsi" w:hAnsiTheme="majorHAnsi"/>
          <w:sz w:val="20"/>
          <w:szCs w:val="20"/>
          <w:lang w:eastAsia="en-US"/>
        </w:rPr>
        <w:t>]</w:t>
      </w:r>
      <w:r w:rsidRPr="000708F8">
        <w:rPr>
          <w:rFonts w:asciiTheme="majorHAnsi" w:hAnsiTheme="majorHAnsi"/>
          <w:sz w:val="20"/>
          <w:szCs w:val="20"/>
          <w:lang w:eastAsia="en-US"/>
        </w:rPr>
        <w:t xml:space="preserve"> for similar results at the level of semantic representations and sentences.</w:t>
      </w:r>
    </w:p>
  </w:endnote>
  <w:endnote w:id="22">
    <w:p w:rsidR="00DD35A5" w:rsidRPr="000708F8" w:rsidRDefault="00DD35A5" w:rsidP="000708F8">
      <w:pPr>
        <w:rPr>
          <w:rFonts w:asciiTheme="majorHAnsi" w:hAnsiTheme="majorHAnsi"/>
          <w:sz w:val="20"/>
          <w:lang w:eastAsia="en-US"/>
        </w:rPr>
      </w:pPr>
      <w:r w:rsidRPr="000708F8">
        <w:rPr>
          <w:rStyle w:val="EndnoteReference"/>
          <w:rFonts w:asciiTheme="majorHAnsi" w:hAnsiTheme="majorHAnsi"/>
          <w:sz w:val="20"/>
        </w:rPr>
        <w:endnoteRef/>
      </w:r>
      <w:r w:rsidRPr="000708F8">
        <w:rPr>
          <w:rFonts w:asciiTheme="majorHAnsi" w:hAnsiTheme="majorHAnsi"/>
          <w:sz w:val="20"/>
        </w:rPr>
        <w:t xml:space="preserve"> </w:t>
      </w:r>
      <w:r w:rsidRPr="000708F8">
        <w:rPr>
          <w:rFonts w:asciiTheme="majorHAnsi" w:hAnsiTheme="majorHAnsi"/>
          <w:sz w:val="20"/>
          <w:lang w:eastAsia="en-US"/>
        </w:rPr>
        <w:t xml:space="preserve">The underlying process at hand could perhaps be further understood in terms of ‘semantic activation’ (e.g. </w:t>
      </w:r>
      <w:r w:rsidR="00774E8A">
        <w:rPr>
          <w:rFonts w:asciiTheme="majorHAnsi" w:hAnsiTheme="majorHAnsi"/>
          <w:sz w:val="20"/>
          <w:lang w:eastAsia="en-US"/>
        </w:rPr>
        <w:t>[</w:t>
      </w:r>
      <w:r w:rsidRPr="000708F8">
        <w:rPr>
          <w:rFonts w:asciiTheme="majorHAnsi" w:hAnsiTheme="majorHAnsi"/>
          <w:sz w:val="20"/>
          <w:lang w:eastAsia="en-US"/>
        </w:rPr>
        <w:t>d'A</w:t>
      </w:r>
      <w:r w:rsidR="00BC4FDE">
        <w:rPr>
          <w:rFonts w:asciiTheme="majorHAnsi" w:hAnsiTheme="majorHAnsi"/>
          <w:sz w:val="20"/>
          <w:lang w:eastAsia="en-US"/>
        </w:rPr>
        <w:t>rcais</w:t>
      </w:r>
      <w:r w:rsidR="00774E8A">
        <w:rPr>
          <w:rFonts w:asciiTheme="majorHAnsi" w:hAnsiTheme="majorHAnsi"/>
          <w:sz w:val="20"/>
          <w:lang w:eastAsia="en-US"/>
        </w:rPr>
        <w:t xml:space="preserve"> </w:t>
      </w:r>
      <w:r w:rsidR="00BC4FDE">
        <w:rPr>
          <w:rFonts w:asciiTheme="majorHAnsi" w:hAnsiTheme="majorHAnsi"/>
          <w:sz w:val="20"/>
          <w:lang w:eastAsia="en-US"/>
        </w:rPr>
        <w:t>&amp;</w:t>
      </w:r>
      <w:r w:rsidR="00774E8A">
        <w:rPr>
          <w:rFonts w:asciiTheme="majorHAnsi" w:hAnsiTheme="majorHAnsi"/>
          <w:sz w:val="20"/>
          <w:lang w:eastAsia="en-US"/>
        </w:rPr>
        <w:t xml:space="preserve"> Schreuder</w:t>
      </w:r>
      <w:r w:rsidRPr="000708F8">
        <w:rPr>
          <w:rFonts w:asciiTheme="majorHAnsi" w:hAnsiTheme="majorHAnsi"/>
          <w:sz w:val="20"/>
          <w:lang w:eastAsia="en-US"/>
        </w:rPr>
        <w:t xml:space="preserve"> (1987)</w:t>
      </w:r>
      <w:r w:rsidR="00BC4FDE">
        <w:rPr>
          <w:rFonts w:asciiTheme="majorHAnsi" w:hAnsiTheme="majorHAnsi"/>
          <w:sz w:val="20"/>
          <w:lang w:eastAsia="en-US"/>
        </w:rPr>
        <w:t>; Dutilh Novaes</w:t>
      </w:r>
      <w:r w:rsidR="00774E8A">
        <w:rPr>
          <w:rFonts w:asciiTheme="majorHAnsi" w:hAnsiTheme="majorHAnsi"/>
          <w:sz w:val="20"/>
          <w:lang w:eastAsia="en-US"/>
        </w:rPr>
        <w:t xml:space="preserve"> (2012)])</w:t>
      </w:r>
      <w:r w:rsidRPr="000708F8">
        <w:rPr>
          <w:rFonts w:asciiTheme="majorHAnsi" w:hAnsiTheme="majorHAnsi"/>
          <w:sz w:val="20"/>
          <w:lang w:eastAsia="en-US"/>
        </w:rPr>
        <w:t>. It is worth clarifying though that the suggested view differs from semantic activation in that: (a) it has a broader scope to the extent that it explains how sub-activated representations become part of a representational network, while setting the background for conceptual flexibility and change (weighting calibration betwe</w:t>
      </w:r>
      <w:r w:rsidR="003D25A3">
        <w:rPr>
          <w:rFonts w:asciiTheme="majorHAnsi" w:hAnsiTheme="majorHAnsi"/>
          <w:sz w:val="20"/>
          <w:lang w:eastAsia="en-US"/>
        </w:rPr>
        <w:t xml:space="preserve">en concepts in a given network </w:t>
      </w:r>
      <w:r w:rsidRPr="000708F8">
        <w:rPr>
          <w:rFonts w:asciiTheme="majorHAnsi" w:hAnsiTheme="majorHAnsi"/>
          <w:sz w:val="20"/>
          <w:lang w:eastAsia="en-US"/>
        </w:rPr>
        <w:t xml:space="preserve">Prinz’s </w:t>
      </w:r>
      <w:r w:rsidR="003D25A3">
        <w:rPr>
          <w:rFonts w:asciiTheme="majorHAnsi" w:hAnsiTheme="majorHAnsi"/>
          <w:sz w:val="20"/>
          <w:lang w:eastAsia="en-US"/>
        </w:rPr>
        <w:t>[(</w:t>
      </w:r>
      <w:r w:rsidRPr="000708F8">
        <w:rPr>
          <w:rFonts w:asciiTheme="majorHAnsi" w:hAnsiTheme="majorHAnsi"/>
          <w:sz w:val="20"/>
          <w:lang w:eastAsia="en-US"/>
        </w:rPr>
        <w:t>2002</w:t>
      </w:r>
      <w:r w:rsidR="003D25A3">
        <w:rPr>
          <w:rFonts w:asciiTheme="majorHAnsi" w:hAnsiTheme="majorHAnsi"/>
          <w:sz w:val="20"/>
          <w:lang w:eastAsia="en-US"/>
        </w:rPr>
        <w:t>)] cognitive content</w:t>
      </w:r>
      <w:r w:rsidRPr="000708F8">
        <w:rPr>
          <w:rFonts w:asciiTheme="majorHAnsi" w:hAnsiTheme="majorHAnsi"/>
          <w:sz w:val="20"/>
          <w:lang w:eastAsia="en-US"/>
        </w:rPr>
        <w:t>); (b) unlike semantic activation, which is often understood lexically (or at least to concern lexical concepts), RSA does not require that and so is capable of dealing with the sub-activation of associated images and goal-directed states involving, for example, sensorimotor and proprioceptive representations; (c) resultantly, RSA is a more fine-grained approach than semantic activation.</w:t>
      </w:r>
    </w:p>
  </w:endnote>
  <w:endnote w:id="23">
    <w:p w:rsidR="00DD35A5" w:rsidRPr="000708F8" w:rsidRDefault="00DD35A5" w:rsidP="000708F8">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It may appear that we have sneaked-in a presupposition that participants already have the concept of “following” in the strict sense of necessary truth-preservation. However, this would be to mistake a more basic sense in which “following” indicates an inferential move or a move in a dialogue, for the formalised notion. On this point, see </w:t>
      </w:r>
      <w:r w:rsidR="003D25A3">
        <w:rPr>
          <w:rFonts w:asciiTheme="majorHAnsi" w:hAnsiTheme="majorHAnsi"/>
          <w:sz w:val="20"/>
          <w:szCs w:val="20"/>
        </w:rPr>
        <w:t>[</w:t>
      </w:r>
      <w:r w:rsidRPr="000708F8">
        <w:rPr>
          <w:rFonts w:asciiTheme="majorHAnsi" w:hAnsiTheme="majorHAnsi"/>
          <w:sz w:val="20"/>
          <w:szCs w:val="20"/>
        </w:rPr>
        <w:t>Dutilh Novaes (2012)</w:t>
      </w:r>
      <w:r w:rsidR="003D25A3">
        <w:rPr>
          <w:rFonts w:asciiTheme="majorHAnsi" w:hAnsiTheme="majorHAnsi"/>
          <w:sz w:val="20"/>
          <w:szCs w:val="20"/>
        </w:rPr>
        <w:t>]</w:t>
      </w:r>
      <w:r w:rsidRPr="000708F8">
        <w:rPr>
          <w:rFonts w:asciiTheme="majorHAnsi" w:hAnsiTheme="majorHAnsi"/>
          <w:sz w:val="20"/>
          <w:szCs w:val="20"/>
        </w:rPr>
        <w:t>, and the discussion of logical form, below.</w:t>
      </w:r>
    </w:p>
  </w:endnote>
  <w:endnote w:id="24">
    <w:p w:rsidR="00DD35A5" w:rsidRPr="000708F8" w:rsidRDefault="00DD35A5" w:rsidP="000708F8">
      <w:pPr>
        <w:pStyle w:val="EndnoteText"/>
        <w:rPr>
          <w:rFonts w:asciiTheme="majorHAnsi" w:hAnsiTheme="majorHAnsi"/>
          <w:sz w:val="20"/>
          <w:szCs w:val="20"/>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This claim is in line with </w:t>
      </w:r>
      <w:r w:rsidR="003D25A3">
        <w:rPr>
          <w:rFonts w:asciiTheme="majorHAnsi" w:hAnsiTheme="majorHAnsi"/>
          <w:sz w:val="20"/>
          <w:szCs w:val="20"/>
        </w:rPr>
        <w:t>[</w:t>
      </w:r>
      <w:r w:rsidRPr="000708F8">
        <w:rPr>
          <w:rFonts w:asciiTheme="majorHAnsi" w:hAnsiTheme="majorHAnsi"/>
          <w:sz w:val="20"/>
          <w:szCs w:val="20"/>
        </w:rPr>
        <w:t>Mercier &amp; Sperber (2011)</w:t>
      </w:r>
      <w:r w:rsidR="003D25A3">
        <w:rPr>
          <w:rFonts w:asciiTheme="majorHAnsi" w:hAnsiTheme="majorHAnsi"/>
          <w:sz w:val="20"/>
          <w:szCs w:val="20"/>
        </w:rPr>
        <w:t>]</w:t>
      </w:r>
      <w:r w:rsidRPr="000708F8">
        <w:rPr>
          <w:rFonts w:asciiTheme="majorHAnsi" w:hAnsiTheme="majorHAnsi"/>
          <w:sz w:val="20"/>
          <w:szCs w:val="20"/>
        </w:rPr>
        <w:t>.</w:t>
      </w:r>
    </w:p>
  </w:endnote>
  <w:endnote w:id="25">
    <w:p w:rsidR="00DD35A5" w:rsidRPr="000708F8" w:rsidRDefault="00DD35A5" w:rsidP="000708F8">
      <w:pPr>
        <w:rPr>
          <w:rFonts w:asciiTheme="majorHAnsi" w:hAnsiTheme="majorHAnsi"/>
          <w:sz w:val="20"/>
        </w:rPr>
      </w:pPr>
      <w:r w:rsidRPr="000708F8">
        <w:rPr>
          <w:rStyle w:val="EndnoteReference"/>
          <w:rFonts w:asciiTheme="majorHAnsi" w:hAnsiTheme="majorHAnsi"/>
          <w:sz w:val="20"/>
        </w:rPr>
        <w:endnoteRef/>
      </w:r>
      <w:r w:rsidRPr="000708F8">
        <w:rPr>
          <w:rFonts w:asciiTheme="majorHAnsi" w:hAnsiTheme="majorHAnsi"/>
          <w:sz w:val="20"/>
        </w:rPr>
        <w:t xml:space="preserve"> It is on cases of this kind that DPTs examine and build their argument. However, it is worth clarifying that there are </w:t>
      </w:r>
      <w:r w:rsidRPr="000708F8">
        <w:rPr>
          <w:rFonts w:asciiTheme="majorHAnsi" w:hAnsiTheme="majorHAnsi" w:cs="Helvetica Neue"/>
          <w:color w:val="262626"/>
          <w:sz w:val="20"/>
        </w:rPr>
        <w:t>also other cases, which do not challenge prior world knowledge. For instance, having an invalid syllogism with a believable conclusion. Furthermore, there could also be</w:t>
      </w:r>
      <w:r w:rsidRPr="000708F8">
        <w:rPr>
          <w:rFonts w:asciiTheme="majorHAnsi" w:hAnsiTheme="majorHAnsi"/>
          <w:sz w:val="20"/>
        </w:rPr>
        <w:t xml:space="preserve"> valid syllogisms with believable premises and an unbelievable conclusion. Admittedly, syllogisms of this kind are hard to come by, given the relation of necessary truth-preservation, but they are not impossible. Finally, they could be valid syllogisms with at least one unbelievable premise and an unbelievable conclusion. It is only in the second case that there will be the issue of integrating the (false) premise.</w:t>
      </w:r>
      <w:r w:rsidRPr="000708F8">
        <w:rPr>
          <w:rFonts w:asciiTheme="majorHAnsi" w:hAnsiTheme="majorHAnsi" w:cs="Helvetica Neue"/>
          <w:color w:val="262626"/>
          <w:sz w:val="20"/>
        </w:rPr>
        <w:t xml:space="preserve"> In this sense, it would be interesting to see experiments dealing with these kinds of syllogisms and how DPTs interpret the results. </w:t>
      </w:r>
      <w:r w:rsidRPr="000708F8">
        <w:rPr>
          <w:rFonts w:asciiTheme="majorHAnsi" w:hAnsiTheme="majorHAnsi"/>
          <w:sz w:val="20"/>
        </w:rPr>
        <w:t>We owe this suggestion to an anonymous reviewer.</w:t>
      </w:r>
    </w:p>
  </w:endnote>
  <w:endnote w:id="26">
    <w:p w:rsidR="00DD35A5" w:rsidRPr="000708F8" w:rsidRDefault="00DD35A5" w:rsidP="002F2C9F">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For instance, Awh et al. </w:t>
      </w:r>
      <w:r w:rsidR="00624108">
        <w:rPr>
          <w:rFonts w:asciiTheme="majorHAnsi" w:hAnsiTheme="majorHAnsi"/>
          <w:sz w:val="20"/>
          <w:szCs w:val="20"/>
        </w:rPr>
        <w:t>[</w:t>
      </w:r>
      <w:r w:rsidRPr="000708F8">
        <w:rPr>
          <w:rFonts w:asciiTheme="majorHAnsi" w:hAnsiTheme="majorHAnsi"/>
          <w:sz w:val="20"/>
          <w:szCs w:val="20"/>
        </w:rPr>
        <w:t>(1999)</w:t>
      </w:r>
      <w:r w:rsidR="00624108">
        <w:rPr>
          <w:rFonts w:asciiTheme="majorHAnsi" w:hAnsiTheme="majorHAnsi"/>
          <w:sz w:val="20"/>
          <w:szCs w:val="20"/>
        </w:rPr>
        <w:t>]</w:t>
      </w:r>
      <w:r w:rsidRPr="000708F8">
        <w:rPr>
          <w:rFonts w:asciiTheme="majorHAnsi" w:hAnsiTheme="majorHAnsi"/>
          <w:sz w:val="20"/>
          <w:szCs w:val="20"/>
        </w:rPr>
        <w:t xml:space="preserve"> found that storing a location in WM led to faster detection – for targets presented at that location. Downing’s </w:t>
      </w:r>
      <w:r w:rsidR="00624108">
        <w:rPr>
          <w:rFonts w:asciiTheme="majorHAnsi" w:hAnsiTheme="majorHAnsi"/>
          <w:sz w:val="20"/>
          <w:szCs w:val="20"/>
        </w:rPr>
        <w:t>[</w:t>
      </w:r>
      <w:r w:rsidRPr="000708F8">
        <w:rPr>
          <w:rFonts w:asciiTheme="majorHAnsi" w:hAnsiTheme="majorHAnsi"/>
          <w:sz w:val="20"/>
          <w:szCs w:val="20"/>
        </w:rPr>
        <w:t>(2000)</w:t>
      </w:r>
      <w:r w:rsidR="00624108">
        <w:rPr>
          <w:rFonts w:asciiTheme="majorHAnsi" w:hAnsiTheme="majorHAnsi"/>
          <w:sz w:val="20"/>
          <w:szCs w:val="20"/>
        </w:rPr>
        <w:t>]</w:t>
      </w:r>
      <w:r w:rsidRPr="000708F8">
        <w:rPr>
          <w:rFonts w:asciiTheme="majorHAnsi" w:hAnsiTheme="majorHAnsi"/>
          <w:sz w:val="20"/>
          <w:szCs w:val="20"/>
        </w:rPr>
        <w:t xml:space="preserve"> proposal that the storage of an item in WM leads to automatic orienting towards simil</w:t>
      </w:r>
      <w:r w:rsidR="00A073D8">
        <w:rPr>
          <w:rFonts w:asciiTheme="majorHAnsi" w:hAnsiTheme="majorHAnsi"/>
          <w:sz w:val="20"/>
          <w:szCs w:val="20"/>
        </w:rPr>
        <w:t xml:space="preserve">ar objects in the environment; </w:t>
      </w:r>
      <w:r w:rsidRPr="000708F8">
        <w:rPr>
          <w:rFonts w:asciiTheme="majorHAnsi" w:hAnsiTheme="majorHAnsi"/>
          <w:sz w:val="20"/>
          <w:szCs w:val="20"/>
        </w:rPr>
        <w:t xml:space="preserve">see also </w:t>
      </w:r>
      <w:r w:rsidR="00624108">
        <w:rPr>
          <w:rFonts w:asciiTheme="majorHAnsi" w:hAnsiTheme="majorHAnsi"/>
          <w:sz w:val="20"/>
          <w:szCs w:val="20"/>
        </w:rPr>
        <w:t>[</w:t>
      </w:r>
      <w:r w:rsidR="00F578FF">
        <w:rPr>
          <w:rFonts w:asciiTheme="majorHAnsi" w:hAnsiTheme="majorHAnsi"/>
          <w:sz w:val="20"/>
          <w:szCs w:val="20"/>
        </w:rPr>
        <w:t>Cowan</w:t>
      </w:r>
      <w:r w:rsidRPr="000708F8">
        <w:rPr>
          <w:rFonts w:asciiTheme="majorHAnsi" w:hAnsiTheme="majorHAnsi"/>
          <w:sz w:val="20"/>
          <w:szCs w:val="20"/>
        </w:rPr>
        <w:t xml:space="preserve"> </w:t>
      </w:r>
      <w:r w:rsidR="00624108">
        <w:rPr>
          <w:rFonts w:asciiTheme="majorHAnsi" w:hAnsiTheme="majorHAnsi"/>
          <w:sz w:val="20"/>
          <w:szCs w:val="20"/>
        </w:rPr>
        <w:t>(</w:t>
      </w:r>
      <w:r w:rsidRPr="000708F8">
        <w:rPr>
          <w:rFonts w:asciiTheme="majorHAnsi" w:hAnsiTheme="majorHAnsi"/>
          <w:sz w:val="20"/>
          <w:szCs w:val="20"/>
        </w:rPr>
        <w:t>2006)</w:t>
      </w:r>
      <w:r w:rsidR="00A073D8">
        <w:rPr>
          <w:rFonts w:asciiTheme="majorHAnsi" w:hAnsiTheme="majorHAnsi"/>
          <w:sz w:val="20"/>
          <w:szCs w:val="20"/>
        </w:rPr>
        <w:t>]</w:t>
      </w:r>
      <w:r w:rsidRPr="000708F8">
        <w:rPr>
          <w:rFonts w:asciiTheme="majorHAnsi" w:hAnsiTheme="majorHAnsi"/>
          <w:sz w:val="20"/>
          <w:szCs w:val="20"/>
        </w:rPr>
        <w:t xml:space="preserve">. </w:t>
      </w:r>
    </w:p>
  </w:endnote>
  <w:endnote w:id="27">
    <w:p w:rsidR="00DD35A5" w:rsidRPr="000708F8" w:rsidRDefault="00DD35A5" w:rsidP="002F2C9F">
      <w:pPr>
        <w:pStyle w:val="EndnoteText"/>
        <w:rPr>
          <w:rFonts w:asciiTheme="majorHAnsi" w:hAnsiTheme="majorHAnsi"/>
          <w:sz w:val="20"/>
          <w:szCs w:val="20"/>
          <w:lang w:val="en-US"/>
        </w:rPr>
      </w:pPr>
      <w:r w:rsidRPr="000708F8">
        <w:rPr>
          <w:rStyle w:val="EndnoteReference"/>
          <w:rFonts w:asciiTheme="majorHAnsi" w:hAnsiTheme="majorHAnsi"/>
          <w:sz w:val="20"/>
          <w:szCs w:val="20"/>
        </w:rPr>
        <w:endnoteRef/>
      </w:r>
      <w:r w:rsidRPr="000708F8">
        <w:rPr>
          <w:rFonts w:asciiTheme="majorHAnsi" w:hAnsiTheme="majorHAnsi"/>
          <w:sz w:val="20"/>
          <w:szCs w:val="20"/>
        </w:rPr>
        <w:t xml:space="preserve"> </w:t>
      </w:r>
      <w:r w:rsidRPr="000708F8">
        <w:rPr>
          <w:rFonts w:asciiTheme="majorHAnsi" w:hAnsiTheme="majorHAnsi"/>
          <w:bCs/>
          <w:sz w:val="20"/>
          <w:szCs w:val="20"/>
          <w:lang w:eastAsia="en-US"/>
        </w:rPr>
        <w:t xml:space="preserve">See also </w:t>
      </w:r>
      <w:r w:rsidR="00F578FF">
        <w:rPr>
          <w:rFonts w:asciiTheme="majorHAnsi" w:hAnsiTheme="majorHAnsi"/>
          <w:bCs/>
          <w:sz w:val="20"/>
          <w:szCs w:val="20"/>
          <w:lang w:eastAsia="en-US"/>
        </w:rPr>
        <w:t xml:space="preserve">[Kruglanski </w:t>
      </w:r>
      <w:r w:rsidR="00226AD1">
        <w:rPr>
          <w:rFonts w:asciiTheme="majorHAnsi" w:hAnsiTheme="majorHAnsi"/>
          <w:bCs/>
          <w:sz w:val="20"/>
          <w:szCs w:val="20"/>
          <w:lang w:eastAsia="en-US"/>
        </w:rPr>
        <w:t>&amp;</w:t>
      </w:r>
      <w:bookmarkStart w:id="0" w:name="_GoBack"/>
      <w:bookmarkEnd w:id="0"/>
      <w:r w:rsidR="00F578FF">
        <w:rPr>
          <w:rFonts w:asciiTheme="majorHAnsi" w:hAnsiTheme="majorHAnsi"/>
          <w:bCs/>
          <w:sz w:val="20"/>
          <w:szCs w:val="20"/>
          <w:lang w:eastAsia="en-US"/>
        </w:rPr>
        <w:t xml:space="preserve"> Gigerenzer</w:t>
      </w:r>
      <w:r w:rsidRPr="000708F8">
        <w:rPr>
          <w:rFonts w:asciiTheme="majorHAnsi" w:hAnsiTheme="majorHAnsi"/>
          <w:bCs/>
          <w:sz w:val="20"/>
          <w:szCs w:val="20"/>
          <w:lang w:eastAsia="en-US"/>
        </w:rPr>
        <w:t xml:space="preserve"> (2011</w:t>
      </w:r>
      <w:r w:rsidR="00F578FF">
        <w:rPr>
          <w:rFonts w:asciiTheme="majorHAnsi" w:hAnsiTheme="majorHAnsi"/>
          <w:bCs/>
          <w:sz w:val="20"/>
          <w:szCs w:val="20"/>
          <w:lang w:eastAsia="en-US"/>
        </w:rPr>
        <w:t>), p.</w:t>
      </w:r>
      <w:r w:rsidRPr="000708F8">
        <w:rPr>
          <w:rFonts w:asciiTheme="majorHAnsi" w:hAnsiTheme="majorHAnsi"/>
          <w:bCs/>
          <w:sz w:val="20"/>
          <w:szCs w:val="20"/>
          <w:lang w:eastAsia="en-US"/>
        </w:rPr>
        <w:t xml:space="preserve"> 106)</w:t>
      </w:r>
      <w:r w:rsidR="00F578FF">
        <w:rPr>
          <w:rFonts w:asciiTheme="majorHAnsi" w:hAnsiTheme="majorHAnsi"/>
          <w:bCs/>
          <w:sz w:val="20"/>
          <w:szCs w:val="20"/>
          <w:lang w:eastAsia="en-US"/>
        </w:rPr>
        <w:t>]</w:t>
      </w:r>
      <w:r w:rsidRPr="000708F8">
        <w:rPr>
          <w:rFonts w:asciiTheme="majorHAnsi" w:hAnsiTheme="majorHAnsi"/>
          <w:bCs/>
          <w:sz w:val="20"/>
          <w:szCs w:val="20"/>
          <w:lang w:eastAsia="en-US"/>
        </w:rP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charset w:val="80"/>
    <w:family w:val="modern"/>
    <w:pitch w:val="fixed"/>
    <w:sig w:usb0="E00002FF" w:usb1="6AC7FDFB" w:usb2="00000012" w:usb3="00000000" w:csb0="0002009F" w:csb1="00000000"/>
  </w:font>
  <w:font w:name="Times-Italic">
    <w:altName w:val="Times New Roman"/>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dvPS6F00">
    <w:altName w:val="Cambria"/>
    <w:panose1 w:val="00000000000000000000"/>
    <w:charset w:val="4D"/>
    <w:family w:val="auto"/>
    <w:notTrueType/>
    <w:pitch w:val="default"/>
    <w:sig w:usb0="00000003" w:usb1="00000000" w:usb2="00000000" w:usb3="00000000" w:csb0="00000001" w:csb1="00000000"/>
  </w:font>
  <w:font w:name="TimesNewRoman">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A5" w:rsidRDefault="0034704F" w:rsidP="0051123A">
    <w:pPr>
      <w:pStyle w:val="Footer"/>
      <w:framePr w:wrap="around" w:vAnchor="text" w:hAnchor="margin" w:xAlign="center" w:y="1"/>
      <w:rPr>
        <w:rStyle w:val="PageNumber"/>
      </w:rPr>
    </w:pPr>
    <w:r>
      <w:rPr>
        <w:rStyle w:val="PageNumber"/>
      </w:rPr>
      <w:fldChar w:fldCharType="begin"/>
    </w:r>
    <w:r w:rsidR="00DD35A5">
      <w:rPr>
        <w:rStyle w:val="PageNumber"/>
      </w:rPr>
      <w:instrText xml:space="preserve">PAGE  </w:instrText>
    </w:r>
    <w:r>
      <w:rPr>
        <w:rStyle w:val="PageNumber"/>
      </w:rPr>
      <w:fldChar w:fldCharType="end"/>
    </w:r>
  </w:p>
  <w:p w:rsidR="00DD35A5" w:rsidRDefault="00DD35A5" w:rsidP="0051123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A5" w:rsidRDefault="0034704F" w:rsidP="0051123A">
    <w:pPr>
      <w:pStyle w:val="Footer"/>
      <w:framePr w:wrap="around" w:vAnchor="text" w:hAnchor="margin" w:xAlign="center" w:y="1"/>
      <w:rPr>
        <w:rStyle w:val="PageNumber"/>
      </w:rPr>
    </w:pPr>
    <w:r>
      <w:rPr>
        <w:rStyle w:val="PageNumber"/>
      </w:rPr>
      <w:fldChar w:fldCharType="begin"/>
    </w:r>
    <w:r w:rsidR="00DD35A5">
      <w:rPr>
        <w:rStyle w:val="PageNumber"/>
      </w:rPr>
      <w:instrText xml:space="preserve">PAGE  </w:instrText>
    </w:r>
    <w:r>
      <w:rPr>
        <w:rStyle w:val="PageNumber"/>
      </w:rPr>
      <w:fldChar w:fldCharType="separate"/>
    </w:r>
    <w:r w:rsidR="00277091">
      <w:rPr>
        <w:rStyle w:val="PageNumber"/>
        <w:noProof/>
      </w:rPr>
      <w:t>29</w:t>
    </w:r>
    <w:r>
      <w:rPr>
        <w:rStyle w:val="PageNumber"/>
      </w:rPr>
      <w:fldChar w:fldCharType="end"/>
    </w:r>
  </w:p>
  <w:p w:rsidR="00DD35A5" w:rsidRDefault="00DD35A5" w:rsidP="0051123A">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5A5" w:rsidRDefault="00DD35A5" w:rsidP="00C735CD">
      <w:r>
        <w:separator/>
      </w:r>
    </w:p>
  </w:footnote>
  <w:footnote w:type="continuationSeparator" w:id="0">
    <w:p w:rsidR="00DD35A5" w:rsidRDefault="00DD35A5" w:rsidP="00C735C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5A5" w:rsidRDefault="00DD35A5">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9D02D2"/>
    <w:multiLevelType w:val="hybridMultilevel"/>
    <w:tmpl w:val="1D50EF7C"/>
    <w:lvl w:ilvl="0" w:tplc="145C57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A5A24"/>
    <w:multiLevelType w:val="hybridMultilevel"/>
    <w:tmpl w:val="E044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F442FF"/>
    <w:multiLevelType w:val="hybridMultilevel"/>
    <w:tmpl w:val="D88A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052AD"/>
    <w:multiLevelType w:val="hybridMultilevel"/>
    <w:tmpl w:val="EE88654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A75923"/>
    <w:multiLevelType w:val="hybridMultilevel"/>
    <w:tmpl w:val="F148D8CA"/>
    <w:lvl w:ilvl="0" w:tplc="145C57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D11B9"/>
    <w:multiLevelType w:val="hybridMultilevel"/>
    <w:tmpl w:val="57581C2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5C8609A"/>
    <w:multiLevelType w:val="hybridMultilevel"/>
    <w:tmpl w:val="F22C17CE"/>
    <w:lvl w:ilvl="0" w:tplc="84DC51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307DE"/>
    <w:multiLevelType w:val="multilevel"/>
    <w:tmpl w:val="F992DDA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ABE1A59"/>
    <w:multiLevelType w:val="multilevel"/>
    <w:tmpl w:val="550866B4"/>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04D6332"/>
    <w:multiLevelType w:val="hybridMultilevel"/>
    <w:tmpl w:val="F148D8CA"/>
    <w:lvl w:ilvl="0" w:tplc="145C57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C123B3"/>
    <w:multiLevelType w:val="multilevel"/>
    <w:tmpl w:val="F148D8C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7B1E0F"/>
    <w:multiLevelType w:val="hybridMultilevel"/>
    <w:tmpl w:val="7AEC2824"/>
    <w:lvl w:ilvl="0" w:tplc="5350811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AA0F5D"/>
    <w:multiLevelType w:val="hybridMultilevel"/>
    <w:tmpl w:val="13527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309BC"/>
    <w:multiLevelType w:val="hybridMultilevel"/>
    <w:tmpl w:val="35B4B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03D39"/>
    <w:multiLevelType w:val="hybridMultilevel"/>
    <w:tmpl w:val="E028F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55512C"/>
    <w:multiLevelType w:val="hybridMultilevel"/>
    <w:tmpl w:val="957E813C"/>
    <w:lvl w:ilvl="0" w:tplc="E06E67C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775193"/>
    <w:multiLevelType w:val="hybridMultilevel"/>
    <w:tmpl w:val="974E02BC"/>
    <w:lvl w:ilvl="0" w:tplc="04090015">
      <w:start w:val="1"/>
      <w:numFmt w:val="upperLetter"/>
      <w:lvlText w:val="%1."/>
      <w:lvlJc w:val="left"/>
      <w:pPr>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A1A4794"/>
    <w:multiLevelType w:val="hybridMultilevel"/>
    <w:tmpl w:val="6BBA4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847EDE"/>
    <w:multiLevelType w:val="multilevel"/>
    <w:tmpl w:val="EE886548"/>
    <w:lvl w:ilvl="0">
      <w:start w:val="1"/>
      <w:numFmt w:val="bullet"/>
      <w:lvlText w:val="o"/>
      <w:lvlJc w:val="left"/>
      <w:pPr>
        <w:ind w:left="1080" w:hanging="360"/>
      </w:pPr>
      <w:rPr>
        <w:rFonts w:ascii="Courier New" w:hAnsi="Courier New"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0">
    <w:nsid w:val="3F432B37"/>
    <w:multiLevelType w:val="hybridMultilevel"/>
    <w:tmpl w:val="A7A4B0FC"/>
    <w:lvl w:ilvl="0" w:tplc="5D5ACC8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541175"/>
    <w:multiLevelType w:val="multilevel"/>
    <w:tmpl w:val="2A9C0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7456166"/>
    <w:multiLevelType w:val="hybridMultilevel"/>
    <w:tmpl w:val="761A22E6"/>
    <w:lvl w:ilvl="0" w:tplc="145C57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65437A"/>
    <w:multiLevelType w:val="hybridMultilevel"/>
    <w:tmpl w:val="E742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004C9"/>
    <w:multiLevelType w:val="multilevel"/>
    <w:tmpl w:val="98126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2E71F9B"/>
    <w:multiLevelType w:val="hybridMultilevel"/>
    <w:tmpl w:val="83024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1B09E8"/>
    <w:multiLevelType w:val="multilevel"/>
    <w:tmpl w:val="57581C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761DD0"/>
    <w:multiLevelType w:val="hybridMultilevel"/>
    <w:tmpl w:val="B526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E4A43"/>
    <w:multiLevelType w:val="hybridMultilevel"/>
    <w:tmpl w:val="9572B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608BE"/>
    <w:multiLevelType w:val="hybridMultilevel"/>
    <w:tmpl w:val="F148D8CA"/>
    <w:lvl w:ilvl="0" w:tplc="145C57E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190DD0"/>
    <w:multiLevelType w:val="hybridMultilevel"/>
    <w:tmpl w:val="0E6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9E07E5"/>
    <w:multiLevelType w:val="hybridMultilevel"/>
    <w:tmpl w:val="065AF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8863321"/>
    <w:multiLevelType w:val="hybridMultilevel"/>
    <w:tmpl w:val="B5E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83A36"/>
    <w:multiLevelType w:val="hybridMultilevel"/>
    <w:tmpl w:val="C3843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A2180E"/>
    <w:multiLevelType w:val="multilevel"/>
    <w:tmpl w:val="C3843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70DA3B49"/>
    <w:multiLevelType w:val="hybridMultilevel"/>
    <w:tmpl w:val="2A9C0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5F18C1"/>
    <w:multiLevelType w:val="multilevel"/>
    <w:tmpl w:val="F148D8C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726F6AA3"/>
    <w:multiLevelType w:val="hybridMultilevel"/>
    <w:tmpl w:val="550866B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7944C4"/>
    <w:multiLevelType w:val="hybridMultilevel"/>
    <w:tmpl w:val="8DAE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A870E9"/>
    <w:multiLevelType w:val="hybridMultilevel"/>
    <w:tmpl w:val="6AD605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62F37F4"/>
    <w:multiLevelType w:val="hybridMultilevel"/>
    <w:tmpl w:val="A8B6E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613201"/>
    <w:multiLevelType w:val="multilevel"/>
    <w:tmpl w:val="F148D8CA"/>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AC24645"/>
    <w:multiLevelType w:val="multilevel"/>
    <w:tmpl w:val="1D50EF7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C743DA5"/>
    <w:multiLevelType w:val="hybridMultilevel"/>
    <w:tmpl w:val="FDFE9E50"/>
    <w:lvl w:ilvl="0" w:tplc="04090011">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25"/>
  </w:num>
  <w:num w:numId="4">
    <w:abstractNumId w:val="38"/>
  </w:num>
  <w:num w:numId="5">
    <w:abstractNumId w:val="33"/>
  </w:num>
  <w:num w:numId="6">
    <w:abstractNumId w:val="28"/>
  </w:num>
  <w:num w:numId="7">
    <w:abstractNumId w:val="16"/>
  </w:num>
  <w:num w:numId="8">
    <w:abstractNumId w:val="37"/>
  </w:num>
  <w:num w:numId="9">
    <w:abstractNumId w:val="32"/>
  </w:num>
  <w:num w:numId="10">
    <w:abstractNumId w:val="14"/>
  </w:num>
  <w:num w:numId="11">
    <w:abstractNumId w:val="6"/>
  </w:num>
  <w:num w:numId="12">
    <w:abstractNumId w:val="34"/>
  </w:num>
  <w:num w:numId="13">
    <w:abstractNumId w:val="39"/>
  </w:num>
  <w:num w:numId="14">
    <w:abstractNumId w:val="0"/>
  </w:num>
  <w:num w:numId="15">
    <w:abstractNumId w:val="43"/>
  </w:num>
  <w:num w:numId="16">
    <w:abstractNumId w:val="8"/>
  </w:num>
  <w:num w:numId="17">
    <w:abstractNumId w:val="9"/>
  </w:num>
  <w:num w:numId="18">
    <w:abstractNumId w:val="40"/>
  </w:num>
  <w:num w:numId="19">
    <w:abstractNumId w:val="26"/>
  </w:num>
  <w:num w:numId="20">
    <w:abstractNumId w:val="17"/>
  </w:num>
  <w:num w:numId="21">
    <w:abstractNumId w:val="23"/>
  </w:num>
  <w:num w:numId="22">
    <w:abstractNumId w:val="20"/>
  </w:num>
  <w:num w:numId="23">
    <w:abstractNumId w:val="4"/>
  </w:num>
  <w:num w:numId="24">
    <w:abstractNumId w:val="12"/>
  </w:num>
  <w:num w:numId="25">
    <w:abstractNumId w:val="19"/>
  </w:num>
  <w:num w:numId="26">
    <w:abstractNumId w:val="31"/>
  </w:num>
  <w:num w:numId="27">
    <w:abstractNumId w:val="13"/>
  </w:num>
  <w:num w:numId="28">
    <w:abstractNumId w:val="30"/>
  </w:num>
  <w:num w:numId="29">
    <w:abstractNumId w:val="3"/>
  </w:num>
  <w:num w:numId="30">
    <w:abstractNumId w:val="2"/>
  </w:num>
  <w:num w:numId="31">
    <w:abstractNumId w:val="18"/>
  </w:num>
  <w:num w:numId="32">
    <w:abstractNumId w:val="35"/>
  </w:num>
  <w:num w:numId="33">
    <w:abstractNumId w:val="21"/>
  </w:num>
  <w:num w:numId="34">
    <w:abstractNumId w:val="15"/>
  </w:num>
  <w:num w:numId="35">
    <w:abstractNumId w:val="22"/>
  </w:num>
  <w:num w:numId="36">
    <w:abstractNumId w:val="24"/>
  </w:num>
  <w:num w:numId="37">
    <w:abstractNumId w:val="1"/>
  </w:num>
  <w:num w:numId="38">
    <w:abstractNumId w:val="42"/>
  </w:num>
  <w:num w:numId="39">
    <w:abstractNumId w:val="10"/>
  </w:num>
  <w:num w:numId="40">
    <w:abstractNumId w:val="5"/>
  </w:num>
  <w:num w:numId="41">
    <w:abstractNumId w:val="29"/>
  </w:num>
  <w:num w:numId="42">
    <w:abstractNumId w:val="36"/>
  </w:num>
  <w:num w:numId="43">
    <w:abstractNumId w:val="41"/>
  </w:num>
  <w:num w:numId="4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
  <w:rsids>
    <w:rsidRoot w:val="00C735CD"/>
    <w:rsid w:val="0002497A"/>
    <w:rsid w:val="0003102A"/>
    <w:rsid w:val="00047DF1"/>
    <w:rsid w:val="000706F1"/>
    <w:rsid w:val="000708F8"/>
    <w:rsid w:val="00085521"/>
    <w:rsid w:val="000948A3"/>
    <w:rsid w:val="000A76A7"/>
    <w:rsid w:val="000B67B7"/>
    <w:rsid w:val="000D080A"/>
    <w:rsid w:val="000D3AAA"/>
    <w:rsid w:val="000D662B"/>
    <w:rsid w:val="000E0660"/>
    <w:rsid w:val="000E1187"/>
    <w:rsid w:val="000E6550"/>
    <w:rsid w:val="000E744D"/>
    <w:rsid w:val="000F10B6"/>
    <w:rsid w:val="000F5269"/>
    <w:rsid w:val="001135AC"/>
    <w:rsid w:val="00132834"/>
    <w:rsid w:val="00143264"/>
    <w:rsid w:val="00145A45"/>
    <w:rsid w:val="00151A68"/>
    <w:rsid w:val="00154B0E"/>
    <w:rsid w:val="0016105F"/>
    <w:rsid w:val="00161CCE"/>
    <w:rsid w:val="0016488C"/>
    <w:rsid w:val="0017429D"/>
    <w:rsid w:val="0019187B"/>
    <w:rsid w:val="0019317D"/>
    <w:rsid w:val="001A6C5B"/>
    <w:rsid w:val="001C14D8"/>
    <w:rsid w:val="001D32D8"/>
    <w:rsid w:val="001D584F"/>
    <w:rsid w:val="001D7B9D"/>
    <w:rsid w:val="001E5211"/>
    <w:rsid w:val="002056D1"/>
    <w:rsid w:val="002176F4"/>
    <w:rsid w:val="00226AD1"/>
    <w:rsid w:val="0023456E"/>
    <w:rsid w:val="00244B4C"/>
    <w:rsid w:val="00245014"/>
    <w:rsid w:val="00250E01"/>
    <w:rsid w:val="00252959"/>
    <w:rsid w:val="0026719F"/>
    <w:rsid w:val="00277091"/>
    <w:rsid w:val="002913FB"/>
    <w:rsid w:val="00296B21"/>
    <w:rsid w:val="00297C7E"/>
    <w:rsid w:val="002A2F20"/>
    <w:rsid w:val="002B3A1C"/>
    <w:rsid w:val="002C6D06"/>
    <w:rsid w:val="002C6E69"/>
    <w:rsid w:val="002D33D3"/>
    <w:rsid w:val="002D6943"/>
    <w:rsid w:val="002D7732"/>
    <w:rsid w:val="002E01D7"/>
    <w:rsid w:val="002E45A7"/>
    <w:rsid w:val="002F2C9F"/>
    <w:rsid w:val="002F5617"/>
    <w:rsid w:val="00301E78"/>
    <w:rsid w:val="00303534"/>
    <w:rsid w:val="003319CD"/>
    <w:rsid w:val="00337B8E"/>
    <w:rsid w:val="0034704F"/>
    <w:rsid w:val="00366F5E"/>
    <w:rsid w:val="0037098B"/>
    <w:rsid w:val="00382F63"/>
    <w:rsid w:val="0038463A"/>
    <w:rsid w:val="003964C3"/>
    <w:rsid w:val="003A0A22"/>
    <w:rsid w:val="003A7EA6"/>
    <w:rsid w:val="003B192D"/>
    <w:rsid w:val="003B4A07"/>
    <w:rsid w:val="003C0CAB"/>
    <w:rsid w:val="003C3D43"/>
    <w:rsid w:val="003D25A3"/>
    <w:rsid w:val="003E0863"/>
    <w:rsid w:val="003F0727"/>
    <w:rsid w:val="0040417F"/>
    <w:rsid w:val="004108AF"/>
    <w:rsid w:val="0041352C"/>
    <w:rsid w:val="00414786"/>
    <w:rsid w:val="004234AA"/>
    <w:rsid w:val="0042553A"/>
    <w:rsid w:val="004269ED"/>
    <w:rsid w:val="00431857"/>
    <w:rsid w:val="00435016"/>
    <w:rsid w:val="00436F42"/>
    <w:rsid w:val="0044453F"/>
    <w:rsid w:val="00444893"/>
    <w:rsid w:val="00451EBB"/>
    <w:rsid w:val="00457C74"/>
    <w:rsid w:val="00461B16"/>
    <w:rsid w:val="004642FD"/>
    <w:rsid w:val="00464444"/>
    <w:rsid w:val="00467D17"/>
    <w:rsid w:val="00473C72"/>
    <w:rsid w:val="00480B84"/>
    <w:rsid w:val="00491196"/>
    <w:rsid w:val="00496F92"/>
    <w:rsid w:val="004A2FBE"/>
    <w:rsid w:val="004A492A"/>
    <w:rsid w:val="004B2EF6"/>
    <w:rsid w:val="004C5121"/>
    <w:rsid w:val="004D0C41"/>
    <w:rsid w:val="004D7883"/>
    <w:rsid w:val="004E1DCB"/>
    <w:rsid w:val="004E348E"/>
    <w:rsid w:val="004E4008"/>
    <w:rsid w:val="004F69A3"/>
    <w:rsid w:val="00501C85"/>
    <w:rsid w:val="0051123A"/>
    <w:rsid w:val="00511298"/>
    <w:rsid w:val="00516620"/>
    <w:rsid w:val="00516E8B"/>
    <w:rsid w:val="00524398"/>
    <w:rsid w:val="00536363"/>
    <w:rsid w:val="00544691"/>
    <w:rsid w:val="00574A76"/>
    <w:rsid w:val="00574EA3"/>
    <w:rsid w:val="0057570F"/>
    <w:rsid w:val="00590206"/>
    <w:rsid w:val="005A7F39"/>
    <w:rsid w:val="005B4C83"/>
    <w:rsid w:val="005B69C1"/>
    <w:rsid w:val="005D5E12"/>
    <w:rsid w:val="005E336B"/>
    <w:rsid w:val="005E4490"/>
    <w:rsid w:val="0061498B"/>
    <w:rsid w:val="00617C0F"/>
    <w:rsid w:val="00623B03"/>
    <w:rsid w:val="00624108"/>
    <w:rsid w:val="006439FF"/>
    <w:rsid w:val="00672615"/>
    <w:rsid w:val="006777CB"/>
    <w:rsid w:val="00681C39"/>
    <w:rsid w:val="006821D8"/>
    <w:rsid w:val="0068277C"/>
    <w:rsid w:val="00687AEE"/>
    <w:rsid w:val="006A019E"/>
    <w:rsid w:val="006A1097"/>
    <w:rsid w:val="006A6266"/>
    <w:rsid w:val="006B0A49"/>
    <w:rsid w:val="006B3D67"/>
    <w:rsid w:val="006C2935"/>
    <w:rsid w:val="006F2EFF"/>
    <w:rsid w:val="006F4932"/>
    <w:rsid w:val="006F610D"/>
    <w:rsid w:val="0070356B"/>
    <w:rsid w:val="0070627E"/>
    <w:rsid w:val="007160EC"/>
    <w:rsid w:val="00717B84"/>
    <w:rsid w:val="00725D59"/>
    <w:rsid w:val="007332EF"/>
    <w:rsid w:val="00751B44"/>
    <w:rsid w:val="0075253A"/>
    <w:rsid w:val="00766D94"/>
    <w:rsid w:val="00774E8A"/>
    <w:rsid w:val="00783FFC"/>
    <w:rsid w:val="007A63E4"/>
    <w:rsid w:val="007B2100"/>
    <w:rsid w:val="007B35A2"/>
    <w:rsid w:val="007B3AD5"/>
    <w:rsid w:val="007D4E85"/>
    <w:rsid w:val="007E031A"/>
    <w:rsid w:val="007E111F"/>
    <w:rsid w:val="007E3948"/>
    <w:rsid w:val="007F3915"/>
    <w:rsid w:val="00800D30"/>
    <w:rsid w:val="00803D78"/>
    <w:rsid w:val="008174B2"/>
    <w:rsid w:val="00824B2D"/>
    <w:rsid w:val="00830EF1"/>
    <w:rsid w:val="008343E1"/>
    <w:rsid w:val="0083450C"/>
    <w:rsid w:val="00844486"/>
    <w:rsid w:val="00846C06"/>
    <w:rsid w:val="008506C0"/>
    <w:rsid w:val="008531B6"/>
    <w:rsid w:val="00854192"/>
    <w:rsid w:val="00854F5A"/>
    <w:rsid w:val="0087667B"/>
    <w:rsid w:val="00880093"/>
    <w:rsid w:val="0088510E"/>
    <w:rsid w:val="008A087D"/>
    <w:rsid w:val="008A6B63"/>
    <w:rsid w:val="008B2D2B"/>
    <w:rsid w:val="008B4D4C"/>
    <w:rsid w:val="008B53AD"/>
    <w:rsid w:val="008C15C1"/>
    <w:rsid w:val="008C3CFF"/>
    <w:rsid w:val="008D2A42"/>
    <w:rsid w:val="008D4328"/>
    <w:rsid w:val="0090064F"/>
    <w:rsid w:val="00900F3F"/>
    <w:rsid w:val="00900F81"/>
    <w:rsid w:val="00912E7D"/>
    <w:rsid w:val="009144F0"/>
    <w:rsid w:val="00915385"/>
    <w:rsid w:val="009449B2"/>
    <w:rsid w:val="0095596A"/>
    <w:rsid w:val="0096782D"/>
    <w:rsid w:val="00973969"/>
    <w:rsid w:val="009779BA"/>
    <w:rsid w:val="00993225"/>
    <w:rsid w:val="009B3F41"/>
    <w:rsid w:val="009B7EC0"/>
    <w:rsid w:val="009D0C58"/>
    <w:rsid w:val="009D2172"/>
    <w:rsid w:val="009E28A9"/>
    <w:rsid w:val="009E2B4A"/>
    <w:rsid w:val="009E5CFD"/>
    <w:rsid w:val="009F3650"/>
    <w:rsid w:val="009F49F9"/>
    <w:rsid w:val="009F5B55"/>
    <w:rsid w:val="00A03166"/>
    <w:rsid w:val="00A0532F"/>
    <w:rsid w:val="00A073D8"/>
    <w:rsid w:val="00A15100"/>
    <w:rsid w:val="00A255D4"/>
    <w:rsid w:val="00A31CD6"/>
    <w:rsid w:val="00A348ED"/>
    <w:rsid w:val="00A34E66"/>
    <w:rsid w:val="00A51CE1"/>
    <w:rsid w:val="00A55512"/>
    <w:rsid w:val="00A565DD"/>
    <w:rsid w:val="00A6756F"/>
    <w:rsid w:val="00A853B2"/>
    <w:rsid w:val="00AA7A1D"/>
    <w:rsid w:val="00AB3783"/>
    <w:rsid w:val="00AF30A3"/>
    <w:rsid w:val="00B01349"/>
    <w:rsid w:val="00B02C27"/>
    <w:rsid w:val="00B0666E"/>
    <w:rsid w:val="00B22EAA"/>
    <w:rsid w:val="00B30162"/>
    <w:rsid w:val="00B44106"/>
    <w:rsid w:val="00B5367A"/>
    <w:rsid w:val="00B54A8D"/>
    <w:rsid w:val="00B55268"/>
    <w:rsid w:val="00B64ADE"/>
    <w:rsid w:val="00B77B64"/>
    <w:rsid w:val="00B92291"/>
    <w:rsid w:val="00B95C5E"/>
    <w:rsid w:val="00B9689C"/>
    <w:rsid w:val="00BA60C6"/>
    <w:rsid w:val="00BB515B"/>
    <w:rsid w:val="00BB6139"/>
    <w:rsid w:val="00BC4FDE"/>
    <w:rsid w:val="00BC6F6E"/>
    <w:rsid w:val="00BD2350"/>
    <w:rsid w:val="00BD5F44"/>
    <w:rsid w:val="00BD78BB"/>
    <w:rsid w:val="00BE1634"/>
    <w:rsid w:val="00BE16F7"/>
    <w:rsid w:val="00BF1DD2"/>
    <w:rsid w:val="00C30B5F"/>
    <w:rsid w:val="00C36FCA"/>
    <w:rsid w:val="00C53B6A"/>
    <w:rsid w:val="00C735CD"/>
    <w:rsid w:val="00C756B2"/>
    <w:rsid w:val="00C756EE"/>
    <w:rsid w:val="00C7761A"/>
    <w:rsid w:val="00C81C0B"/>
    <w:rsid w:val="00C84322"/>
    <w:rsid w:val="00C849D4"/>
    <w:rsid w:val="00C93196"/>
    <w:rsid w:val="00C940BD"/>
    <w:rsid w:val="00C951DD"/>
    <w:rsid w:val="00CA1A04"/>
    <w:rsid w:val="00CA3A06"/>
    <w:rsid w:val="00CA3BC8"/>
    <w:rsid w:val="00CB0982"/>
    <w:rsid w:val="00CC03BC"/>
    <w:rsid w:val="00CC7B1F"/>
    <w:rsid w:val="00CC7F80"/>
    <w:rsid w:val="00CD2977"/>
    <w:rsid w:val="00CD42B7"/>
    <w:rsid w:val="00CD5000"/>
    <w:rsid w:val="00CD6EC7"/>
    <w:rsid w:val="00CE704A"/>
    <w:rsid w:val="00CE7BA7"/>
    <w:rsid w:val="00D23375"/>
    <w:rsid w:val="00D30B12"/>
    <w:rsid w:val="00D33C87"/>
    <w:rsid w:val="00D523B1"/>
    <w:rsid w:val="00D74263"/>
    <w:rsid w:val="00D758A8"/>
    <w:rsid w:val="00D9095B"/>
    <w:rsid w:val="00D93236"/>
    <w:rsid w:val="00D93403"/>
    <w:rsid w:val="00D96EBA"/>
    <w:rsid w:val="00DB7043"/>
    <w:rsid w:val="00DC27B4"/>
    <w:rsid w:val="00DD35A5"/>
    <w:rsid w:val="00DD38DE"/>
    <w:rsid w:val="00DD47D1"/>
    <w:rsid w:val="00DD6994"/>
    <w:rsid w:val="00DE0A39"/>
    <w:rsid w:val="00DE7F9C"/>
    <w:rsid w:val="00DF5DE6"/>
    <w:rsid w:val="00E01C8D"/>
    <w:rsid w:val="00E32DD8"/>
    <w:rsid w:val="00E3670F"/>
    <w:rsid w:val="00E723A1"/>
    <w:rsid w:val="00E72D2F"/>
    <w:rsid w:val="00EA2878"/>
    <w:rsid w:val="00EC00DA"/>
    <w:rsid w:val="00EC1B43"/>
    <w:rsid w:val="00EC5742"/>
    <w:rsid w:val="00EF638F"/>
    <w:rsid w:val="00F12160"/>
    <w:rsid w:val="00F22A9E"/>
    <w:rsid w:val="00F42B4F"/>
    <w:rsid w:val="00F578FF"/>
    <w:rsid w:val="00F57F56"/>
    <w:rsid w:val="00F632B2"/>
    <w:rsid w:val="00F676F4"/>
    <w:rsid w:val="00F73D23"/>
    <w:rsid w:val="00F85F62"/>
    <w:rsid w:val="00F90F24"/>
    <w:rsid w:val="00F94391"/>
    <w:rsid w:val="00FA06C0"/>
    <w:rsid w:val="00FA1D79"/>
    <w:rsid w:val="00FB14C4"/>
    <w:rsid w:val="00FB70E9"/>
    <w:rsid w:val="00FD7415"/>
    <w:rsid w:val="00FF0FD3"/>
    <w:rsid w:val="00FF4CF3"/>
  </w:rsids>
  <m:mathPr>
    <m:mathFont m:val="Helvetica Neu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CD"/>
    <w:pPr>
      <w:jc w:val="both"/>
    </w:pPr>
    <w:rPr>
      <w:rFonts w:ascii="Times New Roman" w:eastAsia="Times New Roman" w:hAnsi="Times New Roman" w:cs="Times New Roman"/>
      <w:szCs w:val="20"/>
      <w:lang w:val="en-GB" w:eastAsia="en-GB"/>
    </w:rPr>
  </w:style>
  <w:style w:type="paragraph" w:styleId="Heading1">
    <w:name w:val="heading 1"/>
    <w:basedOn w:val="Normal"/>
    <w:next w:val="Heading2"/>
    <w:link w:val="Heading1Char"/>
    <w:qFormat/>
    <w:rsid w:val="00C735CD"/>
    <w:pPr>
      <w:jc w:val="center"/>
      <w:outlineLvl w:val="0"/>
    </w:pPr>
    <w:rPr>
      <w:b/>
      <w:sz w:val="36"/>
    </w:rPr>
  </w:style>
  <w:style w:type="paragraph" w:styleId="Heading2">
    <w:name w:val="heading 2"/>
    <w:basedOn w:val="Normal"/>
    <w:next w:val="Normal"/>
    <w:link w:val="Heading2Char"/>
    <w:qFormat/>
    <w:rsid w:val="00C735CD"/>
    <w:pPr>
      <w:outlineLvl w:val="1"/>
    </w:pPr>
    <w:rPr>
      <w:b/>
    </w:rPr>
  </w:style>
  <w:style w:type="paragraph" w:styleId="Heading3">
    <w:name w:val="heading 3"/>
    <w:basedOn w:val="Normal"/>
    <w:link w:val="Heading3Char"/>
    <w:qFormat/>
    <w:rsid w:val="00C735CD"/>
    <w:pPr>
      <w:outlineLvl w:val="2"/>
    </w:pPr>
    <w:rPr>
      <w:i/>
    </w:rPr>
  </w:style>
  <w:style w:type="paragraph" w:styleId="Heading4">
    <w:name w:val="heading 4"/>
    <w:basedOn w:val="Normal"/>
    <w:next w:val="Normal"/>
    <w:link w:val="Heading4Char"/>
    <w:qFormat/>
    <w:rsid w:val="00C735CD"/>
    <w:pPr>
      <w:keepNext/>
      <w:spacing w:line="360" w:lineRule="atLeast"/>
      <w:jc w:val="center"/>
      <w:outlineLvl w:val="3"/>
    </w:pPr>
    <w:rPr>
      <w:sz w:val="40"/>
    </w:rPr>
  </w:style>
  <w:style w:type="paragraph" w:styleId="Heading5">
    <w:name w:val="heading 5"/>
    <w:basedOn w:val="Normal"/>
    <w:next w:val="Normal"/>
    <w:link w:val="Heading5Char"/>
    <w:qFormat/>
    <w:rsid w:val="00C735CD"/>
    <w:pPr>
      <w:keepNext/>
      <w:spacing w:line="360" w:lineRule="atLeast"/>
      <w:outlineLvl w:val="4"/>
    </w:pPr>
    <w:rPr>
      <w:b/>
      <w:i/>
    </w:rPr>
  </w:style>
  <w:style w:type="paragraph" w:styleId="Heading6">
    <w:name w:val="heading 6"/>
    <w:basedOn w:val="Normal"/>
    <w:next w:val="Normal"/>
    <w:link w:val="Heading6Char"/>
    <w:qFormat/>
    <w:rsid w:val="00C735CD"/>
    <w:pPr>
      <w:keepNext/>
      <w:jc w:val="center"/>
      <w:outlineLvl w:val="5"/>
    </w:pPr>
    <w:rPr>
      <w:i/>
      <w:sz w:val="16"/>
    </w:rPr>
  </w:style>
  <w:style w:type="paragraph" w:styleId="Heading7">
    <w:name w:val="heading 7"/>
    <w:basedOn w:val="Normal"/>
    <w:next w:val="Normal"/>
    <w:link w:val="Heading7Char"/>
    <w:qFormat/>
    <w:rsid w:val="00C735CD"/>
    <w:pPr>
      <w:keepNext/>
      <w:spacing w:line="360" w:lineRule="auto"/>
      <w:outlineLvl w:val="6"/>
    </w:pPr>
    <w:rPr>
      <w:b/>
      <w:i/>
      <w:sz w:val="20"/>
    </w:rPr>
  </w:style>
  <w:style w:type="paragraph" w:styleId="Heading8">
    <w:name w:val="heading 8"/>
    <w:basedOn w:val="Normal"/>
    <w:next w:val="Normal"/>
    <w:link w:val="Heading8Char"/>
    <w:qFormat/>
    <w:rsid w:val="00C735CD"/>
    <w:pPr>
      <w:keepNext/>
      <w:spacing w:line="360" w:lineRule="auto"/>
      <w:outlineLvl w:val="7"/>
    </w:pPr>
    <w:rPr>
      <w:i/>
      <w:sz w:val="16"/>
      <w:u w:val="single"/>
    </w:rPr>
  </w:style>
  <w:style w:type="paragraph" w:styleId="Heading9">
    <w:name w:val="heading 9"/>
    <w:basedOn w:val="Normal"/>
    <w:next w:val="Normal"/>
    <w:link w:val="Heading9Char"/>
    <w:qFormat/>
    <w:rsid w:val="00C735CD"/>
    <w:pPr>
      <w:keepNext/>
      <w:spacing w:line="360" w:lineRule="auto"/>
      <w:outlineLvl w:val="8"/>
    </w:pPr>
    <w:rPr>
      <w:b/>
      <w:i/>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735CD"/>
    <w:rPr>
      <w:rFonts w:ascii="Times New Roman" w:eastAsia="Times New Roman" w:hAnsi="Times New Roman" w:cs="Times New Roman"/>
      <w:b/>
      <w:sz w:val="36"/>
      <w:szCs w:val="20"/>
      <w:lang w:val="en-GB" w:eastAsia="en-GB"/>
    </w:rPr>
  </w:style>
  <w:style w:type="character" w:customStyle="1" w:styleId="Heading2Char">
    <w:name w:val="Heading 2 Char"/>
    <w:basedOn w:val="DefaultParagraphFont"/>
    <w:link w:val="Heading2"/>
    <w:rsid w:val="00C735CD"/>
    <w:rPr>
      <w:rFonts w:ascii="Times New Roman" w:eastAsia="Times New Roman" w:hAnsi="Times New Roman" w:cs="Times New Roman"/>
      <w:b/>
      <w:szCs w:val="20"/>
      <w:lang w:val="en-GB" w:eastAsia="en-GB"/>
    </w:rPr>
  </w:style>
  <w:style w:type="character" w:customStyle="1" w:styleId="Heading3Char">
    <w:name w:val="Heading 3 Char"/>
    <w:basedOn w:val="DefaultParagraphFont"/>
    <w:link w:val="Heading3"/>
    <w:rsid w:val="00C735CD"/>
    <w:rPr>
      <w:rFonts w:ascii="Times New Roman" w:eastAsia="Times New Roman" w:hAnsi="Times New Roman" w:cs="Times New Roman"/>
      <w:i/>
      <w:szCs w:val="20"/>
      <w:lang w:val="en-GB" w:eastAsia="en-GB"/>
    </w:rPr>
  </w:style>
  <w:style w:type="character" w:customStyle="1" w:styleId="Heading4Char">
    <w:name w:val="Heading 4 Char"/>
    <w:basedOn w:val="DefaultParagraphFont"/>
    <w:link w:val="Heading4"/>
    <w:rsid w:val="00C735CD"/>
    <w:rPr>
      <w:rFonts w:ascii="Times New Roman" w:eastAsia="Times New Roman" w:hAnsi="Times New Roman" w:cs="Times New Roman"/>
      <w:sz w:val="40"/>
      <w:szCs w:val="20"/>
      <w:lang w:val="en-GB" w:eastAsia="en-GB"/>
    </w:rPr>
  </w:style>
  <w:style w:type="character" w:customStyle="1" w:styleId="Heading5Char">
    <w:name w:val="Heading 5 Char"/>
    <w:basedOn w:val="DefaultParagraphFont"/>
    <w:link w:val="Heading5"/>
    <w:rsid w:val="00C735CD"/>
    <w:rPr>
      <w:rFonts w:ascii="Times New Roman" w:eastAsia="Times New Roman" w:hAnsi="Times New Roman" w:cs="Times New Roman"/>
      <w:b/>
      <w:i/>
      <w:szCs w:val="20"/>
      <w:lang w:val="en-GB" w:eastAsia="en-GB"/>
    </w:rPr>
  </w:style>
  <w:style w:type="character" w:customStyle="1" w:styleId="Heading6Char">
    <w:name w:val="Heading 6 Char"/>
    <w:basedOn w:val="DefaultParagraphFont"/>
    <w:link w:val="Heading6"/>
    <w:rsid w:val="00C735CD"/>
    <w:rPr>
      <w:rFonts w:ascii="Times New Roman" w:eastAsia="Times New Roman" w:hAnsi="Times New Roman" w:cs="Times New Roman"/>
      <w:i/>
      <w:sz w:val="16"/>
      <w:szCs w:val="20"/>
      <w:lang w:val="en-GB" w:eastAsia="en-GB"/>
    </w:rPr>
  </w:style>
  <w:style w:type="character" w:customStyle="1" w:styleId="Heading7Char">
    <w:name w:val="Heading 7 Char"/>
    <w:basedOn w:val="DefaultParagraphFont"/>
    <w:link w:val="Heading7"/>
    <w:rsid w:val="00C735CD"/>
    <w:rPr>
      <w:rFonts w:ascii="Times New Roman" w:eastAsia="Times New Roman" w:hAnsi="Times New Roman" w:cs="Times New Roman"/>
      <w:b/>
      <w:i/>
      <w:sz w:val="20"/>
      <w:szCs w:val="20"/>
      <w:lang w:val="en-GB" w:eastAsia="en-GB"/>
    </w:rPr>
  </w:style>
  <w:style w:type="character" w:customStyle="1" w:styleId="Heading8Char">
    <w:name w:val="Heading 8 Char"/>
    <w:basedOn w:val="DefaultParagraphFont"/>
    <w:link w:val="Heading8"/>
    <w:rsid w:val="00C735CD"/>
    <w:rPr>
      <w:rFonts w:ascii="Times New Roman" w:eastAsia="Times New Roman" w:hAnsi="Times New Roman" w:cs="Times New Roman"/>
      <w:i/>
      <w:sz w:val="16"/>
      <w:szCs w:val="20"/>
      <w:u w:val="single"/>
      <w:lang w:val="en-GB" w:eastAsia="en-GB"/>
    </w:rPr>
  </w:style>
  <w:style w:type="character" w:customStyle="1" w:styleId="Heading9Char">
    <w:name w:val="Heading 9 Char"/>
    <w:basedOn w:val="DefaultParagraphFont"/>
    <w:link w:val="Heading9"/>
    <w:rsid w:val="00C735CD"/>
    <w:rPr>
      <w:rFonts w:ascii="Times New Roman" w:eastAsia="Times New Roman" w:hAnsi="Times New Roman" w:cs="Times New Roman"/>
      <w:b/>
      <w:i/>
      <w:sz w:val="16"/>
      <w:szCs w:val="20"/>
      <w:lang w:val="en-GB" w:eastAsia="en-GB"/>
    </w:rPr>
  </w:style>
  <w:style w:type="paragraph" w:styleId="Footer">
    <w:name w:val="footer"/>
    <w:basedOn w:val="Normal"/>
    <w:link w:val="FooterChar"/>
    <w:uiPriority w:val="99"/>
    <w:rsid w:val="00C735CD"/>
    <w:pPr>
      <w:tabs>
        <w:tab w:val="center" w:pos="4819"/>
        <w:tab w:val="right" w:pos="9071"/>
      </w:tabs>
    </w:pPr>
  </w:style>
  <w:style w:type="character" w:customStyle="1" w:styleId="FooterChar">
    <w:name w:val="Footer Char"/>
    <w:basedOn w:val="DefaultParagraphFont"/>
    <w:link w:val="Footer"/>
    <w:uiPriority w:val="99"/>
    <w:rsid w:val="00C735CD"/>
    <w:rPr>
      <w:rFonts w:ascii="Times New Roman" w:eastAsia="Times New Roman" w:hAnsi="Times New Roman" w:cs="Times New Roman"/>
      <w:szCs w:val="20"/>
      <w:lang w:val="en-GB" w:eastAsia="en-GB"/>
    </w:rPr>
  </w:style>
  <w:style w:type="paragraph" w:styleId="Header">
    <w:name w:val="header"/>
    <w:basedOn w:val="Normal"/>
    <w:link w:val="HeaderChar"/>
    <w:uiPriority w:val="99"/>
    <w:rsid w:val="00C735CD"/>
    <w:pPr>
      <w:tabs>
        <w:tab w:val="center" w:pos="4819"/>
        <w:tab w:val="right" w:pos="9071"/>
      </w:tabs>
    </w:pPr>
  </w:style>
  <w:style w:type="character" w:customStyle="1" w:styleId="HeaderChar">
    <w:name w:val="Header Char"/>
    <w:basedOn w:val="DefaultParagraphFont"/>
    <w:link w:val="Header"/>
    <w:uiPriority w:val="99"/>
    <w:rsid w:val="00C735CD"/>
    <w:rPr>
      <w:rFonts w:ascii="Times New Roman" w:eastAsia="Times New Roman" w:hAnsi="Times New Roman" w:cs="Times New Roman"/>
      <w:szCs w:val="20"/>
      <w:lang w:val="en-GB" w:eastAsia="en-GB"/>
    </w:rPr>
  </w:style>
  <w:style w:type="paragraph" w:styleId="NormalIndent">
    <w:name w:val="Normal Indent"/>
    <w:basedOn w:val="Normal"/>
    <w:rsid w:val="00C735CD"/>
    <w:pPr>
      <w:ind w:left="720"/>
    </w:pPr>
  </w:style>
  <w:style w:type="paragraph" w:styleId="BodyText">
    <w:name w:val="Body Text"/>
    <w:basedOn w:val="Normal"/>
    <w:link w:val="BodyTextChar"/>
    <w:rsid w:val="00C735CD"/>
    <w:pPr>
      <w:spacing w:line="360" w:lineRule="auto"/>
    </w:pPr>
    <w:rPr>
      <w:sz w:val="18"/>
    </w:rPr>
  </w:style>
  <w:style w:type="character" w:customStyle="1" w:styleId="BodyTextChar">
    <w:name w:val="Body Text Char"/>
    <w:basedOn w:val="DefaultParagraphFont"/>
    <w:link w:val="BodyText"/>
    <w:rsid w:val="00C735CD"/>
    <w:rPr>
      <w:rFonts w:ascii="Times New Roman" w:eastAsia="Times New Roman" w:hAnsi="Times New Roman" w:cs="Times New Roman"/>
      <w:sz w:val="18"/>
      <w:szCs w:val="20"/>
      <w:lang w:val="en-GB" w:eastAsia="en-GB"/>
    </w:rPr>
  </w:style>
  <w:style w:type="paragraph" w:styleId="FootnoteText">
    <w:name w:val="footnote text"/>
    <w:basedOn w:val="Normal"/>
    <w:link w:val="FootnoteTextChar"/>
    <w:rsid w:val="00C735CD"/>
    <w:pPr>
      <w:jc w:val="left"/>
    </w:pPr>
    <w:rPr>
      <w:rFonts w:ascii="Calibri" w:hAnsi="Calibri"/>
      <w:sz w:val="20"/>
    </w:rPr>
  </w:style>
  <w:style w:type="character" w:customStyle="1" w:styleId="FootnoteTextChar">
    <w:name w:val="Footnote Text Char"/>
    <w:basedOn w:val="DefaultParagraphFont"/>
    <w:link w:val="FootnoteText"/>
    <w:rsid w:val="00C735CD"/>
    <w:rPr>
      <w:rFonts w:ascii="Calibri" w:eastAsia="Times New Roman" w:hAnsi="Calibri" w:cs="Times New Roman"/>
      <w:sz w:val="20"/>
      <w:szCs w:val="20"/>
      <w:lang w:val="en-GB" w:eastAsia="en-GB"/>
    </w:rPr>
  </w:style>
  <w:style w:type="character" w:styleId="FootnoteReference">
    <w:name w:val="footnote reference"/>
    <w:rsid w:val="00C735CD"/>
    <w:rPr>
      <w:vertAlign w:val="superscript"/>
    </w:rPr>
  </w:style>
  <w:style w:type="paragraph" w:styleId="BodyTextIndent">
    <w:name w:val="Body Text Indent"/>
    <w:basedOn w:val="Normal"/>
    <w:link w:val="BodyTextIndentChar"/>
    <w:rsid w:val="00C735CD"/>
    <w:pPr>
      <w:spacing w:line="360" w:lineRule="auto"/>
      <w:ind w:left="567" w:hanging="567"/>
    </w:pPr>
    <w:rPr>
      <w:sz w:val="18"/>
    </w:rPr>
  </w:style>
  <w:style w:type="character" w:customStyle="1" w:styleId="BodyTextIndentChar">
    <w:name w:val="Body Text Indent Char"/>
    <w:basedOn w:val="DefaultParagraphFont"/>
    <w:link w:val="BodyTextIndent"/>
    <w:rsid w:val="00C735CD"/>
    <w:rPr>
      <w:rFonts w:ascii="Times New Roman" w:eastAsia="Times New Roman" w:hAnsi="Times New Roman" w:cs="Times New Roman"/>
      <w:sz w:val="18"/>
      <w:szCs w:val="20"/>
      <w:lang w:val="en-GB" w:eastAsia="en-GB"/>
    </w:rPr>
  </w:style>
  <w:style w:type="paragraph" w:styleId="BodyTextIndent2">
    <w:name w:val="Body Text Indent 2"/>
    <w:basedOn w:val="Normal"/>
    <w:link w:val="BodyTextIndent2Char"/>
    <w:rsid w:val="00C735CD"/>
    <w:pPr>
      <w:spacing w:line="480" w:lineRule="auto"/>
      <w:ind w:left="567"/>
    </w:pPr>
    <w:rPr>
      <w:sz w:val="18"/>
    </w:rPr>
  </w:style>
  <w:style w:type="character" w:customStyle="1" w:styleId="BodyTextIndent2Char">
    <w:name w:val="Body Text Indent 2 Char"/>
    <w:basedOn w:val="DefaultParagraphFont"/>
    <w:link w:val="BodyTextIndent2"/>
    <w:rsid w:val="00C735CD"/>
    <w:rPr>
      <w:rFonts w:ascii="Times New Roman" w:eastAsia="Times New Roman" w:hAnsi="Times New Roman" w:cs="Times New Roman"/>
      <w:sz w:val="18"/>
      <w:szCs w:val="20"/>
      <w:lang w:val="en-GB" w:eastAsia="en-GB"/>
    </w:rPr>
  </w:style>
  <w:style w:type="paragraph" w:styleId="BodyTextIndent3">
    <w:name w:val="Body Text Indent 3"/>
    <w:basedOn w:val="Normal"/>
    <w:link w:val="BodyTextIndent3Char"/>
    <w:rsid w:val="00C735CD"/>
    <w:pPr>
      <w:spacing w:line="480" w:lineRule="auto"/>
      <w:ind w:left="573"/>
    </w:pPr>
    <w:rPr>
      <w:sz w:val="18"/>
    </w:rPr>
  </w:style>
  <w:style w:type="character" w:customStyle="1" w:styleId="BodyTextIndent3Char">
    <w:name w:val="Body Text Indent 3 Char"/>
    <w:basedOn w:val="DefaultParagraphFont"/>
    <w:link w:val="BodyTextIndent3"/>
    <w:rsid w:val="00C735CD"/>
    <w:rPr>
      <w:rFonts w:ascii="Times New Roman" w:eastAsia="Times New Roman" w:hAnsi="Times New Roman" w:cs="Times New Roman"/>
      <w:sz w:val="18"/>
      <w:szCs w:val="20"/>
      <w:lang w:val="en-GB" w:eastAsia="en-GB"/>
    </w:rPr>
  </w:style>
  <w:style w:type="paragraph" w:styleId="BodyText2">
    <w:name w:val="Body Text 2"/>
    <w:basedOn w:val="Normal"/>
    <w:link w:val="BodyText2Char"/>
    <w:rsid w:val="00C735CD"/>
    <w:pPr>
      <w:spacing w:line="360" w:lineRule="auto"/>
    </w:pPr>
    <w:rPr>
      <w:sz w:val="16"/>
    </w:rPr>
  </w:style>
  <w:style w:type="character" w:customStyle="1" w:styleId="BodyText2Char">
    <w:name w:val="Body Text 2 Char"/>
    <w:basedOn w:val="DefaultParagraphFont"/>
    <w:link w:val="BodyText2"/>
    <w:rsid w:val="00C735CD"/>
    <w:rPr>
      <w:rFonts w:ascii="Times New Roman" w:eastAsia="Times New Roman" w:hAnsi="Times New Roman" w:cs="Times New Roman"/>
      <w:sz w:val="16"/>
      <w:szCs w:val="20"/>
      <w:lang w:val="en-GB" w:eastAsia="en-GB"/>
    </w:rPr>
  </w:style>
  <w:style w:type="paragraph" w:styleId="BalloonText">
    <w:name w:val="Balloon Text"/>
    <w:basedOn w:val="Normal"/>
    <w:link w:val="BalloonTextChar"/>
    <w:semiHidden/>
    <w:rsid w:val="00C735CD"/>
    <w:rPr>
      <w:rFonts w:ascii="Tahoma" w:hAnsi="Tahoma" w:cs="Tahoma"/>
      <w:sz w:val="16"/>
      <w:szCs w:val="16"/>
    </w:rPr>
  </w:style>
  <w:style w:type="character" w:customStyle="1" w:styleId="BalloonTextChar">
    <w:name w:val="Balloon Text Char"/>
    <w:basedOn w:val="DefaultParagraphFont"/>
    <w:link w:val="BalloonText"/>
    <w:semiHidden/>
    <w:rsid w:val="00C735CD"/>
    <w:rPr>
      <w:rFonts w:ascii="Tahoma" w:eastAsia="Times New Roman" w:hAnsi="Tahoma" w:cs="Tahoma"/>
      <w:sz w:val="16"/>
      <w:szCs w:val="16"/>
      <w:lang w:val="en-GB" w:eastAsia="en-GB"/>
    </w:rPr>
  </w:style>
  <w:style w:type="character" w:styleId="Hyperlink">
    <w:name w:val="Hyperlink"/>
    <w:rsid w:val="00C735CD"/>
    <w:rPr>
      <w:color w:val="0000FF"/>
      <w:u w:val="single"/>
    </w:rPr>
  </w:style>
  <w:style w:type="character" w:styleId="Emphasis">
    <w:name w:val="Emphasis"/>
    <w:uiPriority w:val="20"/>
    <w:qFormat/>
    <w:rsid w:val="00C735CD"/>
    <w:rPr>
      <w:i/>
      <w:iCs/>
    </w:rPr>
  </w:style>
  <w:style w:type="paragraph" w:customStyle="1" w:styleId="Kleurrijkelijst-accent11">
    <w:name w:val="Kleurrijke lijst - accent 11"/>
    <w:basedOn w:val="Normal"/>
    <w:uiPriority w:val="34"/>
    <w:qFormat/>
    <w:rsid w:val="00C735CD"/>
    <w:pPr>
      <w:spacing w:after="200" w:line="276" w:lineRule="auto"/>
      <w:ind w:left="720"/>
      <w:contextualSpacing/>
      <w:jc w:val="left"/>
    </w:pPr>
    <w:rPr>
      <w:rFonts w:ascii="Calibri" w:eastAsia="Calibri" w:hAnsi="Calibri"/>
      <w:sz w:val="22"/>
      <w:szCs w:val="22"/>
      <w:lang w:eastAsia="en-US"/>
    </w:rPr>
  </w:style>
  <w:style w:type="table" w:styleId="TableGrid">
    <w:name w:val="Table Grid"/>
    <w:basedOn w:val="TableNormal"/>
    <w:rsid w:val="00C735CD"/>
    <w:pPr>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ry-content">
    <w:name w:val="entry-content"/>
    <w:basedOn w:val="DefaultParagraphFont"/>
    <w:rsid w:val="00C735CD"/>
  </w:style>
  <w:style w:type="paragraph" w:styleId="PlainText">
    <w:name w:val="Plain Text"/>
    <w:basedOn w:val="Normal"/>
    <w:link w:val="PlainTextChar"/>
    <w:uiPriority w:val="99"/>
    <w:unhideWhenUsed/>
    <w:rsid w:val="00C735CD"/>
    <w:pPr>
      <w:jc w:val="left"/>
    </w:pPr>
    <w:rPr>
      <w:rFonts w:ascii="Consolas" w:eastAsia="Calibri" w:hAnsi="Consolas"/>
      <w:sz w:val="21"/>
      <w:szCs w:val="21"/>
      <w:lang w:val="nb-NO" w:eastAsia="en-US"/>
    </w:rPr>
  </w:style>
  <w:style w:type="character" w:customStyle="1" w:styleId="PlainTextChar">
    <w:name w:val="Plain Text Char"/>
    <w:basedOn w:val="DefaultParagraphFont"/>
    <w:link w:val="PlainText"/>
    <w:uiPriority w:val="99"/>
    <w:rsid w:val="00C735CD"/>
    <w:rPr>
      <w:rFonts w:ascii="Consolas" w:eastAsia="Calibri" w:hAnsi="Consolas" w:cs="Times New Roman"/>
      <w:sz w:val="21"/>
      <w:szCs w:val="21"/>
      <w:lang w:val="nb-NO"/>
    </w:rPr>
  </w:style>
  <w:style w:type="paragraph" w:customStyle="1" w:styleId="Handout">
    <w:name w:val="Handout"/>
    <w:basedOn w:val="Normal"/>
    <w:uiPriority w:val="99"/>
    <w:rsid w:val="00C735CD"/>
    <w:pPr>
      <w:spacing w:before="120" w:line="276" w:lineRule="auto"/>
    </w:pPr>
    <w:rPr>
      <w:b/>
      <w:color w:val="000000"/>
      <w:sz w:val="20"/>
      <w:szCs w:val="18"/>
    </w:rPr>
  </w:style>
  <w:style w:type="character" w:styleId="CommentReference">
    <w:name w:val="annotation reference"/>
    <w:semiHidden/>
    <w:rsid w:val="00C735CD"/>
    <w:rPr>
      <w:sz w:val="16"/>
      <w:szCs w:val="16"/>
    </w:rPr>
  </w:style>
  <w:style w:type="paragraph" w:styleId="CommentText">
    <w:name w:val="annotation text"/>
    <w:basedOn w:val="Normal"/>
    <w:link w:val="CommentTextChar"/>
    <w:semiHidden/>
    <w:rsid w:val="00C735CD"/>
    <w:rPr>
      <w:sz w:val="20"/>
    </w:rPr>
  </w:style>
  <w:style w:type="character" w:customStyle="1" w:styleId="CommentTextChar">
    <w:name w:val="Comment Text Char"/>
    <w:basedOn w:val="DefaultParagraphFont"/>
    <w:link w:val="CommentText"/>
    <w:semiHidden/>
    <w:rsid w:val="00C735C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C735CD"/>
    <w:rPr>
      <w:b/>
      <w:bCs/>
    </w:rPr>
  </w:style>
  <w:style w:type="character" w:customStyle="1" w:styleId="CommentSubjectChar">
    <w:name w:val="Comment Subject Char"/>
    <w:basedOn w:val="CommentTextChar"/>
    <w:link w:val="CommentSubject"/>
    <w:semiHidden/>
    <w:rsid w:val="00C735CD"/>
    <w:rPr>
      <w:rFonts w:ascii="Times New Roman" w:eastAsia="Times New Roman" w:hAnsi="Times New Roman" w:cs="Times New Roman"/>
      <w:b/>
      <w:bCs/>
      <w:sz w:val="20"/>
      <w:szCs w:val="20"/>
      <w:lang w:val="en-GB" w:eastAsia="en-GB"/>
    </w:rPr>
  </w:style>
  <w:style w:type="character" w:styleId="PageNumber">
    <w:name w:val="page number"/>
    <w:rsid w:val="00C735CD"/>
  </w:style>
  <w:style w:type="paragraph" w:customStyle="1" w:styleId="Kleurrijkearcering-accent11">
    <w:name w:val="Kleurrijke arcering - accent 11"/>
    <w:hidden/>
    <w:uiPriority w:val="99"/>
    <w:semiHidden/>
    <w:rsid w:val="00C735CD"/>
    <w:rPr>
      <w:rFonts w:ascii="Times New Roman" w:eastAsia="Times New Roman" w:hAnsi="Times New Roman" w:cs="Times New Roman"/>
      <w:szCs w:val="20"/>
      <w:lang w:val="en-GB" w:eastAsia="en-GB"/>
    </w:rPr>
  </w:style>
  <w:style w:type="paragraph" w:styleId="NormalWeb">
    <w:name w:val="Normal (Web)"/>
    <w:basedOn w:val="Normal"/>
    <w:uiPriority w:val="99"/>
    <w:unhideWhenUsed/>
    <w:rsid w:val="00C735CD"/>
    <w:pPr>
      <w:spacing w:before="100" w:beforeAutospacing="1" w:after="100" w:afterAutospacing="1"/>
      <w:jc w:val="left"/>
    </w:pPr>
    <w:rPr>
      <w:rFonts w:ascii="Times" w:hAnsi="Times"/>
      <w:sz w:val="20"/>
      <w:lang w:eastAsia="en-US"/>
    </w:rPr>
  </w:style>
  <w:style w:type="character" w:styleId="Strong">
    <w:name w:val="Strong"/>
    <w:basedOn w:val="DefaultParagraphFont"/>
    <w:qFormat/>
    <w:rsid w:val="00C735CD"/>
    <w:rPr>
      <w:b/>
      <w:bCs/>
    </w:rPr>
  </w:style>
  <w:style w:type="paragraph" w:styleId="ListParagraph">
    <w:name w:val="List Paragraph"/>
    <w:basedOn w:val="Normal"/>
    <w:uiPriority w:val="34"/>
    <w:qFormat/>
    <w:rsid w:val="00F12160"/>
    <w:pPr>
      <w:ind w:left="720"/>
      <w:contextualSpacing/>
      <w:jc w:val="left"/>
    </w:pPr>
    <w:rPr>
      <w:szCs w:val="24"/>
      <w:lang w:val="en-US" w:eastAsia="en-US"/>
    </w:rPr>
  </w:style>
  <w:style w:type="character" w:styleId="FollowedHyperlink">
    <w:name w:val="FollowedHyperlink"/>
    <w:basedOn w:val="DefaultParagraphFont"/>
    <w:uiPriority w:val="99"/>
    <w:semiHidden/>
    <w:unhideWhenUsed/>
    <w:rsid w:val="009E5CFD"/>
    <w:rPr>
      <w:color w:val="800080" w:themeColor="followedHyperlink"/>
      <w:u w:val="single"/>
    </w:rPr>
  </w:style>
  <w:style w:type="paragraph" w:styleId="EndnoteText">
    <w:name w:val="endnote text"/>
    <w:basedOn w:val="Normal"/>
    <w:link w:val="EndnoteTextChar"/>
    <w:uiPriority w:val="99"/>
    <w:semiHidden/>
    <w:unhideWhenUsed/>
    <w:rsid w:val="000708F8"/>
    <w:rPr>
      <w:szCs w:val="24"/>
    </w:rPr>
  </w:style>
  <w:style w:type="character" w:customStyle="1" w:styleId="EndnoteTextChar">
    <w:name w:val="Endnote Text Char"/>
    <w:basedOn w:val="DefaultParagraphFont"/>
    <w:link w:val="EndnoteText"/>
    <w:uiPriority w:val="99"/>
    <w:semiHidden/>
    <w:rsid w:val="000708F8"/>
    <w:rPr>
      <w:rFonts w:ascii="Times New Roman" w:eastAsia="Times New Roman" w:hAnsi="Times New Roman" w:cs="Times New Roman"/>
      <w:lang w:val="en-GB" w:eastAsia="en-GB"/>
    </w:rPr>
  </w:style>
  <w:style w:type="character" w:styleId="EndnoteReference">
    <w:name w:val="endnote reference"/>
    <w:basedOn w:val="DefaultParagraphFont"/>
    <w:uiPriority w:val="99"/>
    <w:semiHidden/>
    <w:unhideWhenUsed/>
    <w:rsid w:val="000708F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5CD"/>
    <w:pPr>
      <w:jc w:val="both"/>
    </w:pPr>
    <w:rPr>
      <w:rFonts w:ascii="Times New Roman" w:eastAsia="Times New Roman" w:hAnsi="Times New Roman" w:cs="Times New Roman"/>
      <w:szCs w:val="20"/>
      <w:lang w:val="en-GB" w:eastAsia="en-GB"/>
    </w:rPr>
  </w:style>
  <w:style w:type="paragraph" w:styleId="Heading1">
    <w:name w:val="heading 1"/>
    <w:basedOn w:val="Normal"/>
    <w:next w:val="Heading2"/>
    <w:link w:val="Heading1Char"/>
    <w:qFormat/>
    <w:rsid w:val="00C735CD"/>
    <w:pPr>
      <w:jc w:val="center"/>
      <w:outlineLvl w:val="0"/>
    </w:pPr>
    <w:rPr>
      <w:b/>
      <w:sz w:val="36"/>
    </w:rPr>
  </w:style>
  <w:style w:type="paragraph" w:styleId="Heading2">
    <w:name w:val="heading 2"/>
    <w:basedOn w:val="Normal"/>
    <w:next w:val="Normal"/>
    <w:link w:val="Heading2Char"/>
    <w:qFormat/>
    <w:rsid w:val="00C735CD"/>
    <w:pPr>
      <w:outlineLvl w:val="1"/>
    </w:pPr>
    <w:rPr>
      <w:b/>
    </w:rPr>
  </w:style>
  <w:style w:type="paragraph" w:styleId="Heading3">
    <w:name w:val="heading 3"/>
    <w:basedOn w:val="Normal"/>
    <w:link w:val="Heading3Char"/>
    <w:qFormat/>
    <w:rsid w:val="00C735CD"/>
    <w:pPr>
      <w:outlineLvl w:val="2"/>
    </w:pPr>
    <w:rPr>
      <w:i/>
    </w:rPr>
  </w:style>
  <w:style w:type="paragraph" w:styleId="Heading4">
    <w:name w:val="heading 4"/>
    <w:basedOn w:val="Normal"/>
    <w:next w:val="Normal"/>
    <w:link w:val="Heading4Char"/>
    <w:qFormat/>
    <w:rsid w:val="00C735CD"/>
    <w:pPr>
      <w:keepNext/>
      <w:spacing w:line="360" w:lineRule="atLeast"/>
      <w:jc w:val="center"/>
      <w:outlineLvl w:val="3"/>
    </w:pPr>
    <w:rPr>
      <w:sz w:val="40"/>
    </w:rPr>
  </w:style>
  <w:style w:type="paragraph" w:styleId="Heading5">
    <w:name w:val="heading 5"/>
    <w:basedOn w:val="Normal"/>
    <w:next w:val="Normal"/>
    <w:link w:val="Heading5Char"/>
    <w:qFormat/>
    <w:rsid w:val="00C735CD"/>
    <w:pPr>
      <w:keepNext/>
      <w:spacing w:line="360" w:lineRule="atLeast"/>
      <w:outlineLvl w:val="4"/>
    </w:pPr>
    <w:rPr>
      <w:b/>
      <w:i/>
    </w:rPr>
  </w:style>
  <w:style w:type="paragraph" w:styleId="Heading6">
    <w:name w:val="heading 6"/>
    <w:basedOn w:val="Normal"/>
    <w:next w:val="Normal"/>
    <w:link w:val="Heading6Char"/>
    <w:qFormat/>
    <w:rsid w:val="00C735CD"/>
    <w:pPr>
      <w:keepNext/>
      <w:jc w:val="center"/>
      <w:outlineLvl w:val="5"/>
    </w:pPr>
    <w:rPr>
      <w:i/>
      <w:sz w:val="16"/>
    </w:rPr>
  </w:style>
  <w:style w:type="paragraph" w:styleId="Heading7">
    <w:name w:val="heading 7"/>
    <w:basedOn w:val="Normal"/>
    <w:next w:val="Normal"/>
    <w:link w:val="Heading7Char"/>
    <w:qFormat/>
    <w:rsid w:val="00C735CD"/>
    <w:pPr>
      <w:keepNext/>
      <w:spacing w:line="360" w:lineRule="auto"/>
      <w:outlineLvl w:val="6"/>
    </w:pPr>
    <w:rPr>
      <w:b/>
      <w:i/>
      <w:sz w:val="20"/>
    </w:rPr>
  </w:style>
  <w:style w:type="paragraph" w:styleId="Heading8">
    <w:name w:val="heading 8"/>
    <w:basedOn w:val="Normal"/>
    <w:next w:val="Normal"/>
    <w:link w:val="Heading8Char"/>
    <w:qFormat/>
    <w:rsid w:val="00C735CD"/>
    <w:pPr>
      <w:keepNext/>
      <w:spacing w:line="360" w:lineRule="auto"/>
      <w:outlineLvl w:val="7"/>
    </w:pPr>
    <w:rPr>
      <w:i/>
      <w:sz w:val="16"/>
      <w:u w:val="single"/>
    </w:rPr>
  </w:style>
  <w:style w:type="paragraph" w:styleId="Heading9">
    <w:name w:val="heading 9"/>
    <w:basedOn w:val="Normal"/>
    <w:next w:val="Normal"/>
    <w:link w:val="Heading9Char"/>
    <w:qFormat/>
    <w:rsid w:val="00C735CD"/>
    <w:pPr>
      <w:keepNext/>
      <w:spacing w:line="360" w:lineRule="auto"/>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35CD"/>
    <w:rPr>
      <w:rFonts w:ascii="Times New Roman" w:eastAsia="Times New Roman" w:hAnsi="Times New Roman" w:cs="Times New Roman"/>
      <w:b/>
      <w:sz w:val="36"/>
      <w:szCs w:val="20"/>
      <w:lang w:val="en-GB" w:eastAsia="en-GB"/>
    </w:rPr>
  </w:style>
  <w:style w:type="character" w:customStyle="1" w:styleId="Heading2Char">
    <w:name w:val="Heading 2 Char"/>
    <w:basedOn w:val="DefaultParagraphFont"/>
    <w:link w:val="Heading2"/>
    <w:rsid w:val="00C735CD"/>
    <w:rPr>
      <w:rFonts w:ascii="Times New Roman" w:eastAsia="Times New Roman" w:hAnsi="Times New Roman" w:cs="Times New Roman"/>
      <w:b/>
      <w:szCs w:val="20"/>
      <w:lang w:val="en-GB" w:eastAsia="en-GB"/>
    </w:rPr>
  </w:style>
  <w:style w:type="character" w:customStyle="1" w:styleId="Heading3Char">
    <w:name w:val="Heading 3 Char"/>
    <w:basedOn w:val="DefaultParagraphFont"/>
    <w:link w:val="Heading3"/>
    <w:rsid w:val="00C735CD"/>
    <w:rPr>
      <w:rFonts w:ascii="Times New Roman" w:eastAsia="Times New Roman" w:hAnsi="Times New Roman" w:cs="Times New Roman"/>
      <w:i/>
      <w:szCs w:val="20"/>
      <w:lang w:val="en-GB" w:eastAsia="en-GB"/>
    </w:rPr>
  </w:style>
  <w:style w:type="character" w:customStyle="1" w:styleId="Heading4Char">
    <w:name w:val="Heading 4 Char"/>
    <w:basedOn w:val="DefaultParagraphFont"/>
    <w:link w:val="Heading4"/>
    <w:rsid w:val="00C735CD"/>
    <w:rPr>
      <w:rFonts w:ascii="Times New Roman" w:eastAsia="Times New Roman" w:hAnsi="Times New Roman" w:cs="Times New Roman"/>
      <w:sz w:val="40"/>
      <w:szCs w:val="20"/>
      <w:lang w:val="en-GB" w:eastAsia="en-GB"/>
    </w:rPr>
  </w:style>
  <w:style w:type="character" w:customStyle="1" w:styleId="Heading5Char">
    <w:name w:val="Heading 5 Char"/>
    <w:basedOn w:val="DefaultParagraphFont"/>
    <w:link w:val="Heading5"/>
    <w:rsid w:val="00C735CD"/>
    <w:rPr>
      <w:rFonts w:ascii="Times New Roman" w:eastAsia="Times New Roman" w:hAnsi="Times New Roman" w:cs="Times New Roman"/>
      <w:b/>
      <w:i/>
      <w:szCs w:val="20"/>
      <w:lang w:val="en-GB" w:eastAsia="en-GB"/>
    </w:rPr>
  </w:style>
  <w:style w:type="character" w:customStyle="1" w:styleId="Heading6Char">
    <w:name w:val="Heading 6 Char"/>
    <w:basedOn w:val="DefaultParagraphFont"/>
    <w:link w:val="Heading6"/>
    <w:rsid w:val="00C735CD"/>
    <w:rPr>
      <w:rFonts w:ascii="Times New Roman" w:eastAsia="Times New Roman" w:hAnsi="Times New Roman" w:cs="Times New Roman"/>
      <w:i/>
      <w:sz w:val="16"/>
      <w:szCs w:val="20"/>
      <w:lang w:val="en-GB" w:eastAsia="en-GB"/>
    </w:rPr>
  </w:style>
  <w:style w:type="character" w:customStyle="1" w:styleId="Heading7Char">
    <w:name w:val="Heading 7 Char"/>
    <w:basedOn w:val="DefaultParagraphFont"/>
    <w:link w:val="Heading7"/>
    <w:rsid w:val="00C735CD"/>
    <w:rPr>
      <w:rFonts w:ascii="Times New Roman" w:eastAsia="Times New Roman" w:hAnsi="Times New Roman" w:cs="Times New Roman"/>
      <w:b/>
      <w:i/>
      <w:sz w:val="20"/>
      <w:szCs w:val="20"/>
      <w:lang w:val="en-GB" w:eastAsia="en-GB"/>
    </w:rPr>
  </w:style>
  <w:style w:type="character" w:customStyle="1" w:styleId="Heading8Char">
    <w:name w:val="Heading 8 Char"/>
    <w:basedOn w:val="DefaultParagraphFont"/>
    <w:link w:val="Heading8"/>
    <w:rsid w:val="00C735CD"/>
    <w:rPr>
      <w:rFonts w:ascii="Times New Roman" w:eastAsia="Times New Roman" w:hAnsi="Times New Roman" w:cs="Times New Roman"/>
      <w:i/>
      <w:sz w:val="16"/>
      <w:szCs w:val="20"/>
      <w:u w:val="single"/>
      <w:lang w:val="en-GB" w:eastAsia="en-GB"/>
    </w:rPr>
  </w:style>
  <w:style w:type="character" w:customStyle="1" w:styleId="Heading9Char">
    <w:name w:val="Heading 9 Char"/>
    <w:basedOn w:val="DefaultParagraphFont"/>
    <w:link w:val="Heading9"/>
    <w:rsid w:val="00C735CD"/>
    <w:rPr>
      <w:rFonts w:ascii="Times New Roman" w:eastAsia="Times New Roman" w:hAnsi="Times New Roman" w:cs="Times New Roman"/>
      <w:b/>
      <w:i/>
      <w:sz w:val="16"/>
      <w:szCs w:val="20"/>
      <w:lang w:val="en-GB" w:eastAsia="en-GB"/>
    </w:rPr>
  </w:style>
  <w:style w:type="paragraph" w:styleId="Footer">
    <w:name w:val="footer"/>
    <w:basedOn w:val="Normal"/>
    <w:link w:val="FooterChar"/>
    <w:uiPriority w:val="99"/>
    <w:rsid w:val="00C735CD"/>
    <w:pPr>
      <w:tabs>
        <w:tab w:val="center" w:pos="4819"/>
        <w:tab w:val="right" w:pos="9071"/>
      </w:tabs>
    </w:pPr>
  </w:style>
  <w:style w:type="character" w:customStyle="1" w:styleId="FooterChar">
    <w:name w:val="Footer Char"/>
    <w:basedOn w:val="DefaultParagraphFont"/>
    <w:link w:val="Footer"/>
    <w:uiPriority w:val="99"/>
    <w:rsid w:val="00C735CD"/>
    <w:rPr>
      <w:rFonts w:ascii="Times New Roman" w:eastAsia="Times New Roman" w:hAnsi="Times New Roman" w:cs="Times New Roman"/>
      <w:szCs w:val="20"/>
      <w:lang w:val="en-GB" w:eastAsia="en-GB"/>
    </w:rPr>
  </w:style>
  <w:style w:type="paragraph" w:styleId="Header">
    <w:name w:val="header"/>
    <w:basedOn w:val="Normal"/>
    <w:link w:val="HeaderChar"/>
    <w:uiPriority w:val="99"/>
    <w:rsid w:val="00C735CD"/>
    <w:pPr>
      <w:tabs>
        <w:tab w:val="center" w:pos="4819"/>
        <w:tab w:val="right" w:pos="9071"/>
      </w:tabs>
    </w:pPr>
  </w:style>
  <w:style w:type="character" w:customStyle="1" w:styleId="HeaderChar">
    <w:name w:val="Header Char"/>
    <w:basedOn w:val="DefaultParagraphFont"/>
    <w:link w:val="Header"/>
    <w:uiPriority w:val="99"/>
    <w:rsid w:val="00C735CD"/>
    <w:rPr>
      <w:rFonts w:ascii="Times New Roman" w:eastAsia="Times New Roman" w:hAnsi="Times New Roman" w:cs="Times New Roman"/>
      <w:szCs w:val="20"/>
      <w:lang w:val="en-GB" w:eastAsia="en-GB"/>
    </w:rPr>
  </w:style>
  <w:style w:type="paragraph" w:styleId="NormalIndent">
    <w:name w:val="Normal Indent"/>
    <w:basedOn w:val="Normal"/>
    <w:rsid w:val="00C735CD"/>
    <w:pPr>
      <w:ind w:left="720"/>
    </w:pPr>
  </w:style>
  <w:style w:type="paragraph" w:styleId="BodyText">
    <w:name w:val="Body Text"/>
    <w:basedOn w:val="Normal"/>
    <w:link w:val="BodyTextChar"/>
    <w:rsid w:val="00C735CD"/>
    <w:pPr>
      <w:spacing w:line="360" w:lineRule="auto"/>
    </w:pPr>
    <w:rPr>
      <w:sz w:val="18"/>
    </w:rPr>
  </w:style>
  <w:style w:type="character" w:customStyle="1" w:styleId="BodyTextChar">
    <w:name w:val="Body Text Char"/>
    <w:basedOn w:val="DefaultParagraphFont"/>
    <w:link w:val="BodyText"/>
    <w:rsid w:val="00C735CD"/>
    <w:rPr>
      <w:rFonts w:ascii="Times New Roman" w:eastAsia="Times New Roman" w:hAnsi="Times New Roman" w:cs="Times New Roman"/>
      <w:sz w:val="18"/>
      <w:szCs w:val="20"/>
      <w:lang w:val="en-GB" w:eastAsia="en-GB"/>
    </w:rPr>
  </w:style>
  <w:style w:type="paragraph" w:styleId="FootnoteText">
    <w:name w:val="footnote text"/>
    <w:basedOn w:val="Normal"/>
    <w:link w:val="FootnoteTextChar"/>
    <w:rsid w:val="00C735CD"/>
    <w:pPr>
      <w:jc w:val="left"/>
    </w:pPr>
    <w:rPr>
      <w:rFonts w:ascii="Calibri" w:hAnsi="Calibri"/>
      <w:sz w:val="20"/>
    </w:rPr>
  </w:style>
  <w:style w:type="character" w:customStyle="1" w:styleId="FootnoteTextChar">
    <w:name w:val="Footnote Text Char"/>
    <w:basedOn w:val="DefaultParagraphFont"/>
    <w:link w:val="FootnoteText"/>
    <w:rsid w:val="00C735CD"/>
    <w:rPr>
      <w:rFonts w:ascii="Calibri" w:eastAsia="Times New Roman" w:hAnsi="Calibri" w:cs="Times New Roman"/>
      <w:sz w:val="20"/>
      <w:szCs w:val="20"/>
      <w:lang w:val="en-GB" w:eastAsia="en-GB"/>
    </w:rPr>
  </w:style>
  <w:style w:type="character" w:styleId="FootnoteReference">
    <w:name w:val="footnote reference"/>
    <w:rsid w:val="00C735CD"/>
    <w:rPr>
      <w:vertAlign w:val="superscript"/>
    </w:rPr>
  </w:style>
  <w:style w:type="paragraph" w:styleId="BodyTextIndent">
    <w:name w:val="Body Text Indent"/>
    <w:basedOn w:val="Normal"/>
    <w:link w:val="BodyTextIndentChar"/>
    <w:rsid w:val="00C735CD"/>
    <w:pPr>
      <w:spacing w:line="360" w:lineRule="auto"/>
      <w:ind w:left="567" w:hanging="567"/>
    </w:pPr>
    <w:rPr>
      <w:sz w:val="18"/>
    </w:rPr>
  </w:style>
  <w:style w:type="character" w:customStyle="1" w:styleId="BodyTextIndentChar">
    <w:name w:val="Body Text Indent Char"/>
    <w:basedOn w:val="DefaultParagraphFont"/>
    <w:link w:val="BodyTextIndent"/>
    <w:rsid w:val="00C735CD"/>
    <w:rPr>
      <w:rFonts w:ascii="Times New Roman" w:eastAsia="Times New Roman" w:hAnsi="Times New Roman" w:cs="Times New Roman"/>
      <w:sz w:val="18"/>
      <w:szCs w:val="20"/>
      <w:lang w:val="en-GB" w:eastAsia="en-GB"/>
    </w:rPr>
  </w:style>
  <w:style w:type="paragraph" w:styleId="BodyTextIndent2">
    <w:name w:val="Body Text Indent 2"/>
    <w:basedOn w:val="Normal"/>
    <w:link w:val="BodyTextIndent2Char"/>
    <w:rsid w:val="00C735CD"/>
    <w:pPr>
      <w:spacing w:line="480" w:lineRule="auto"/>
      <w:ind w:left="567"/>
    </w:pPr>
    <w:rPr>
      <w:sz w:val="18"/>
    </w:rPr>
  </w:style>
  <w:style w:type="character" w:customStyle="1" w:styleId="BodyTextIndent2Char">
    <w:name w:val="Body Text Indent 2 Char"/>
    <w:basedOn w:val="DefaultParagraphFont"/>
    <w:link w:val="BodyTextIndent2"/>
    <w:rsid w:val="00C735CD"/>
    <w:rPr>
      <w:rFonts w:ascii="Times New Roman" w:eastAsia="Times New Roman" w:hAnsi="Times New Roman" w:cs="Times New Roman"/>
      <w:sz w:val="18"/>
      <w:szCs w:val="20"/>
      <w:lang w:val="en-GB" w:eastAsia="en-GB"/>
    </w:rPr>
  </w:style>
  <w:style w:type="paragraph" w:styleId="BodyTextIndent3">
    <w:name w:val="Body Text Indent 3"/>
    <w:basedOn w:val="Normal"/>
    <w:link w:val="BodyTextIndent3Char"/>
    <w:rsid w:val="00C735CD"/>
    <w:pPr>
      <w:spacing w:line="480" w:lineRule="auto"/>
      <w:ind w:left="573"/>
    </w:pPr>
    <w:rPr>
      <w:sz w:val="18"/>
    </w:rPr>
  </w:style>
  <w:style w:type="character" w:customStyle="1" w:styleId="BodyTextIndent3Char">
    <w:name w:val="Body Text Indent 3 Char"/>
    <w:basedOn w:val="DefaultParagraphFont"/>
    <w:link w:val="BodyTextIndent3"/>
    <w:rsid w:val="00C735CD"/>
    <w:rPr>
      <w:rFonts w:ascii="Times New Roman" w:eastAsia="Times New Roman" w:hAnsi="Times New Roman" w:cs="Times New Roman"/>
      <w:sz w:val="18"/>
      <w:szCs w:val="20"/>
      <w:lang w:val="en-GB" w:eastAsia="en-GB"/>
    </w:rPr>
  </w:style>
  <w:style w:type="paragraph" w:styleId="BodyText2">
    <w:name w:val="Body Text 2"/>
    <w:basedOn w:val="Normal"/>
    <w:link w:val="BodyText2Char"/>
    <w:rsid w:val="00C735CD"/>
    <w:pPr>
      <w:spacing w:line="360" w:lineRule="auto"/>
    </w:pPr>
    <w:rPr>
      <w:sz w:val="16"/>
    </w:rPr>
  </w:style>
  <w:style w:type="character" w:customStyle="1" w:styleId="BodyText2Char">
    <w:name w:val="Body Text 2 Char"/>
    <w:basedOn w:val="DefaultParagraphFont"/>
    <w:link w:val="BodyText2"/>
    <w:rsid w:val="00C735CD"/>
    <w:rPr>
      <w:rFonts w:ascii="Times New Roman" w:eastAsia="Times New Roman" w:hAnsi="Times New Roman" w:cs="Times New Roman"/>
      <w:sz w:val="16"/>
      <w:szCs w:val="20"/>
      <w:lang w:val="en-GB" w:eastAsia="en-GB"/>
    </w:rPr>
  </w:style>
  <w:style w:type="paragraph" w:styleId="BalloonText">
    <w:name w:val="Balloon Text"/>
    <w:basedOn w:val="Normal"/>
    <w:link w:val="BalloonTextChar"/>
    <w:semiHidden/>
    <w:rsid w:val="00C735CD"/>
    <w:rPr>
      <w:rFonts w:ascii="Tahoma" w:hAnsi="Tahoma" w:cs="Tahoma"/>
      <w:sz w:val="16"/>
      <w:szCs w:val="16"/>
    </w:rPr>
  </w:style>
  <w:style w:type="character" w:customStyle="1" w:styleId="BalloonTextChar">
    <w:name w:val="Balloon Text Char"/>
    <w:basedOn w:val="DefaultParagraphFont"/>
    <w:link w:val="BalloonText"/>
    <w:semiHidden/>
    <w:rsid w:val="00C735CD"/>
    <w:rPr>
      <w:rFonts w:ascii="Tahoma" w:eastAsia="Times New Roman" w:hAnsi="Tahoma" w:cs="Tahoma"/>
      <w:sz w:val="16"/>
      <w:szCs w:val="16"/>
      <w:lang w:val="en-GB" w:eastAsia="en-GB"/>
    </w:rPr>
  </w:style>
  <w:style w:type="character" w:styleId="Hyperlink">
    <w:name w:val="Hyperlink"/>
    <w:rsid w:val="00C735CD"/>
    <w:rPr>
      <w:color w:val="0000FF"/>
      <w:u w:val="single"/>
    </w:rPr>
  </w:style>
  <w:style w:type="character" w:styleId="Emphasis">
    <w:name w:val="Emphasis"/>
    <w:uiPriority w:val="20"/>
    <w:qFormat/>
    <w:rsid w:val="00C735CD"/>
    <w:rPr>
      <w:i/>
      <w:iCs/>
    </w:rPr>
  </w:style>
  <w:style w:type="paragraph" w:customStyle="1" w:styleId="Kleurrijkelijst-accent11">
    <w:name w:val="Kleurrijke lijst - accent 11"/>
    <w:basedOn w:val="Normal"/>
    <w:uiPriority w:val="34"/>
    <w:qFormat/>
    <w:rsid w:val="00C735CD"/>
    <w:pPr>
      <w:spacing w:after="200" w:line="276" w:lineRule="auto"/>
      <w:ind w:left="720"/>
      <w:contextualSpacing/>
      <w:jc w:val="left"/>
    </w:pPr>
    <w:rPr>
      <w:rFonts w:ascii="Calibri" w:eastAsia="Calibri" w:hAnsi="Calibri"/>
      <w:sz w:val="22"/>
      <w:szCs w:val="22"/>
      <w:lang w:eastAsia="en-US"/>
    </w:rPr>
  </w:style>
  <w:style w:type="table" w:styleId="TableGrid">
    <w:name w:val="Table Grid"/>
    <w:basedOn w:val="TableNormal"/>
    <w:rsid w:val="00C735CD"/>
    <w:pPr>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ry-content">
    <w:name w:val="entry-content"/>
    <w:basedOn w:val="DefaultParagraphFont"/>
    <w:rsid w:val="00C735CD"/>
  </w:style>
  <w:style w:type="paragraph" w:styleId="PlainText">
    <w:name w:val="Plain Text"/>
    <w:basedOn w:val="Normal"/>
    <w:link w:val="PlainTextChar"/>
    <w:uiPriority w:val="99"/>
    <w:unhideWhenUsed/>
    <w:rsid w:val="00C735CD"/>
    <w:pPr>
      <w:jc w:val="left"/>
    </w:pPr>
    <w:rPr>
      <w:rFonts w:ascii="Consolas" w:eastAsia="Calibri" w:hAnsi="Consolas"/>
      <w:sz w:val="21"/>
      <w:szCs w:val="21"/>
      <w:lang w:val="nb-NO" w:eastAsia="en-US"/>
    </w:rPr>
  </w:style>
  <w:style w:type="character" w:customStyle="1" w:styleId="PlainTextChar">
    <w:name w:val="Plain Text Char"/>
    <w:basedOn w:val="DefaultParagraphFont"/>
    <w:link w:val="PlainText"/>
    <w:uiPriority w:val="99"/>
    <w:rsid w:val="00C735CD"/>
    <w:rPr>
      <w:rFonts w:ascii="Consolas" w:eastAsia="Calibri" w:hAnsi="Consolas" w:cs="Times New Roman"/>
      <w:sz w:val="21"/>
      <w:szCs w:val="21"/>
      <w:lang w:val="nb-NO"/>
    </w:rPr>
  </w:style>
  <w:style w:type="paragraph" w:customStyle="1" w:styleId="Handout">
    <w:name w:val="Handout"/>
    <w:basedOn w:val="Normal"/>
    <w:uiPriority w:val="99"/>
    <w:rsid w:val="00C735CD"/>
    <w:pPr>
      <w:spacing w:before="120" w:line="276" w:lineRule="auto"/>
    </w:pPr>
    <w:rPr>
      <w:b/>
      <w:color w:val="000000"/>
      <w:sz w:val="20"/>
      <w:szCs w:val="18"/>
    </w:rPr>
  </w:style>
  <w:style w:type="character" w:styleId="CommentReference">
    <w:name w:val="annotation reference"/>
    <w:semiHidden/>
    <w:rsid w:val="00C735CD"/>
    <w:rPr>
      <w:sz w:val="16"/>
      <w:szCs w:val="16"/>
    </w:rPr>
  </w:style>
  <w:style w:type="paragraph" w:styleId="CommentText">
    <w:name w:val="annotation text"/>
    <w:basedOn w:val="Normal"/>
    <w:link w:val="CommentTextChar"/>
    <w:semiHidden/>
    <w:rsid w:val="00C735CD"/>
    <w:rPr>
      <w:sz w:val="20"/>
    </w:rPr>
  </w:style>
  <w:style w:type="character" w:customStyle="1" w:styleId="CommentTextChar">
    <w:name w:val="Comment Text Char"/>
    <w:basedOn w:val="DefaultParagraphFont"/>
    <w:link w:val="CommentText"/>
    <w:semiHidden/>
    <w:rsid w:val="00C735CD"/>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semiHidden/>
    <w:rsid w:val="00C735CD"/>
    <w:rPr>
      <w:b/>
      <w:bCs/>
    </w:rPr>
  </w:style>
  <w:style w:type="character" w:customStyle="1" w:styleId="CommentSubjectChar">
    <w:name w:val="Comment Subject Char"/>
    <w:basedOn w:val="CommentTextChar"/>
    <w:link w:val="CommentSubject"/>
    <w:semiHidden/>
    <w:rsid w:val="00C735CD"/>
    <w:rPr>
      <w:rFonts w:ascii="Times New Roman" w:eastAsia="Times New Roman" w:hAnsi="Times New Roman" w:cs="Times New Roman"/>
      <w:b/>
      <w:bCs/>
      <w:sz w:val="20"/>
      <w:szCs w:val="20"/>
      <w:lang w:val="en-GB" w:eastAsia="en-GB"/>
    </w:rPr>
  </w:style>
  <w:style w:type="character" w:styleId="PageNumber">
    <w:name w:val="page number"/>
    <w:rsid w:val="00C735CD"/>
  </w:style>
  <w:style w:type="paragraph" w:customStyle="1" w:styleId="Kleurrijkearcering-accent11">
    <w:name w:val="Kleurrijke arcering - accent 11"/>
    <w:hidden/>
    <w:uiPriority w:val="99"/>
    <w:semiHidden/>
    <w:rsid w:val="00C735CD"/>
    <w:rPr>
      <w:rFonts w:ascii="Times New Roman" w:eastAsia="Times New Roman" w:hAnsi="Times New Roman" w:cs="Times New Roman"/>
      <w:szCs w:val="20"/>
      <w:lang w:val="en-GB" w:eastAsia="en-GB"/>
    </w:rPr>
  </w:style>
  <w:style w:type="paragraph" w:styleId="NormalWeb">
    <w:name w:val="Normal (Web)"/>
    <w:basedOn w:val="Normal"/>
    <w:uiPriority w:val="99"/>
    <w:unhideWhenUsed/>
    <w:rsid w:val="00C735CD"/>
    <w:pPr>
      <w:spacing w:before="100" w:beforeAutospacing="1" w:after="100" w:afterAutospacing="1"/>
      <w:jc w:val="left"/>
    </w:pPr>
    <w:rPr>
      <w:rFonts w:ascii="Times" w:hAnsi="Times"/>
      <w:sz w:val="20"/>
      <w:lang w:eastAsia="en-US"/>
    </w:rPr>
  </w:style>
  <w:style w:type="character" w:styleId="Strong">
    <w:name w:val="Strong"/>
    <w:basedOn w:val="DefaultParagraphFont"/>
    <w:qFormat/>
    <w:rsid w:val="00C735CD"/>
    <w:rPr>
      <w:b/>
      <w:bCs/>
    </w:rPr>
  </w:style>
  <w:style w:type="paragraph" w:styleId="ListParagraph">
    <w:name w:val="List Paragraph"/>
    <w:basedOn w:val="Normal"/>
    <w:uiPriority w:val="34"/>
    <w:qFormat/>
    <w:rsid w:val="00F12160"/>
    <w:pPr>
      <w:ind w:left="720"/>
      <w:contextualSpacing/>
      <w:jc w:val="left"/>
    </w:pPr>
    <w:rPr>
      <w:szCs w:val="24"/>
      <w:lang w:val="en-US" w:eastAsia="en-US"/>
    </w:rPr>
  </w:style>
  <w:style w:type="character" w:styleId="FollowedHyperlink">
    <w:name w:val="FollowedHyperlink"/>
    <w:basedOn w:val="DefaultParagraphFont"/>
    <w:uiPriority w:val="99"/>
    <w:semiHidden/>
    <w:unhideWhenUsed/>
    <w:rsid w:val="009E5CFD"/>
    <w:rPr>
      <w:color w:val="800080" w:themeColor="followedHyperlink"/>
      <w:u w:val="single"/>
    </w:rPr>
  </w:style>
  <w:style w:type="paragraph" w:styleId="EndnoteText">
    <w:name w:val="endnote text"/>
    <w:basedOn w:val="Normal"/>
    <w:link w:val="EndnoteTextChar"/>
    <w:uiPriority w:val="99"/>
    <w:semiHidden/>
    <w:unhideWhenUsed/>
    <w:rsid w:val="000708F8"/>
    <w:rPr>
      <w:szCs w:val="24"/>
    </w:rPr>
  </w:style>
  <w:style w:type="character" w:customStyle="1" w:styleId="EndnoteTextChar">
    <w:name w:val="Endnote Text Char"/>
    <w:basedOn w:val="DefaultParagraphFont"/>
    <w:link w:val="EndnoteText"/>
    <w:uiPriority w:val="99"/>
    <w:semiHidden/>
    <w:rsid w:val="000708F8"/>
    <w:rPr>
      <w:rFonts w:ascii="Times New Roman" w:eastAsia="Times New Roman" w:hAnsi="Times New Roman" w:cs="Times New Roman"/>
      <w:lang w:val="en-GB" w:eastAsia="en-GB"/>
    </w:rPr>
  </w:style>
  <w:style w:type="character" w:styleId="EndnoteReference">
    <w:name w:val="endnote reference"/>
    <w:basedOn w:val="DefaultParagraphFont"/>
    <w:uiPriority w:val="99"/>
    <w:semiHidden/>
    <w:unhideWhenUsed/>
    <w:rsid w:val="000708F8"/>
    <w:rPr>
      <w:vertAlign w:val="superscript"/>
    </w:rPr>
  </w:style>
</w:styles>
</file>

<file path=word/webSettings.xml><?xml version="1.0" encoding="utf-8"?>
<w:webSettings xmlns:r="http://schemas.openxmlformats.org/officeDocument/2006/relationships" xmlns:w="http://schemas.openxmlformats.org/wordprocessingml/2006/main">
  <w:divs>
    <w:div w:id="432671628">
      <w:bodyDiv w:val="1"/>
      <w:marLeft w:val="0"/>
      <w:marRight w:val="0"/>
      <w:marTop w:val="0"/>
      <w:marBottom w:val="0"/>
      <w:divBdr>
        <w:top w:val="none" w:sz="0" w:space="0" w:color="auto"/>
        <w:left w:val="none" w:sz="0" w:space="0" w:color="auto"/>
        <w:bottom w:val="none" w:sz="0" w:space="0" w:color="auto"/>
        <w:right w:val="none" w:sz="0" w:space="0" w:color="auto"/>
      </w:divBdr>
      <w:divsChild>
        <w:div w:id="2687074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mailto:jtrafford2@ucreative.ac.uk" TargetMode="External"/><Relationship Id="rId2" Type="http://schemas.openxmlformats.org/officeDocument/2006/relationships/hyperlink" Target="mailto:atillas@phil.uni-duesseldor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72A5-F488-C847-AF49-5EE18C39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10612</Words>
  <Characters>60494</Characters>
  <Application>Microsoft Macintosh Word</Application>
  <DocSecurity>0</DocSecurity>
  <Lines>504</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for the Creative Arts</Company>
  <LinksUpToDate>false</LinksUpToDate>
  <CharactersWithSpaces>74290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Hopp</dc:creator>
  <cp:lastModifiedBy>James Trafford</cp:lastModifiedBy>
  <cp:revision>5</cp:revision>
  <dcterms:created xsi:type="dcterms:W3CDTF">2015-01-21T10:08:00Z</dcterms:created>
  <dcterms:modified xsi:type="dcterms:W3CDTF">2015-01-21T10:09:00Z</dcterms:modified>
</cp:coreProperties>
</file>